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55B8" w14:textId="6B94FAAE" w:rsidR="00C77521" w:rsidRDefault="00C77521">
      <w:pPr>
        <w:rPr>
          <w:rFonts w:ascii="Roboto" w:hAnsi="Roboto"/>
          <w:color w:val="000000"/>
          <w:sz w:val="21"/>
          <w:szCs w:val="21"/>
          <w:shd w:val="clear" w:color="auto" w:fill="FAFAFA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Hyršlová, J., Klečka, J.,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Marinič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(2010).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Ekonomika podniku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Vysoká škola ekonomie a managementu.</w:t>
      </w:r>
    </w:p>
    <w:p w14:paraId="2C859F38" w14:textId="77777777" w:rsidR="00A67FF0" w:rsidRDefault="00A67FF0">
      <w:pPr>
        <w:rPr>
          <w:rFonts w:ascii="Roboto" w:hAnsi="Roboto"/>
          <w:color w:val="000000"/>
          <w:sz w:val="21"/>
          <w:szCs w:val="21"/>
          <w:shd w:val="clear" w:color="auto" w:fill="FAFAFA"/>
        </w:rPr>
      </w:pPr>
    </w:p>
    <w:p w14:paraId="517525FA" w14:textId="77777777" w:rsidR="00A67FF0" w:rsidRDefault="00A67FF0">
      <w:pPr>
        <w:rPr>
          <w:rFonts w:ascii="Roboto" w:hAnsi="Roboto"/>
          <w:color w:val="000000"/>
          <w:sz w:val="21"/>
          <w:szCs w:val="21"/>
          <w:shd w:val="clear" w:color="auto" w:fill="FAFAFA"/>
        </w:rPr>
      </w:pPr>
    </w:p>
    <w:p w14:paraId="40B73F95" w14:textId="1D39E78F" w:rsidR="00F72421" w:rsidRDefault="00F85FCF">
      <w:pPr>
        <w:rPr>
          <w:rFonts w:ascii="Roboto" w:hAnsi="Roboto"/>
          <w:color w:val="000000"/>
          <w:sz w:val="21"/>
          <w:szCs w:val="21"/>
          <w:shd w:val="clear" w:color="auto" w:fill="FAFAFA"/>
        </w:rPr>
      </w:pPr>
      <w:r>
        <w:rPr>
          <w:rFonts w:ascii="Roboto" w:hAnsi="Roboto"/>
          <w:color w:val="000000"/>
          <w:sz w:val="21"/>
          <w:szCs w:val="21"/>
          <w:shd w:val="clear" w:color="auto" w:fill="FAFAFA"/>
        </w:rPr>
        <w:t>Životní cyklus podniku</w:t>
      </w:r>
    </w:p>
    <w:p w14:paraId="42279C2E" w14:textId="3509B8D4" w:rsidR="00A67FF0" w:rsidRDefault="00A67FF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67FF0">
        <w:rPr>
          <w:rFonts w:ascii="Roboto" w:hAnsi="Roboto"/>
          <w:color w:val="000000"/>
          <w:sz w:val="21"/>
          <w:szCs w:val="21"/>
          <w:shd w:val="clear" w:color="auto" w:fill="FAFAFA"/>
        </w:rPr>
        <w:t>Fáze životního cyklu firmy jsou odlišné fáze, které jsou výsledkem jak vnitřních (např. volba strategie, finančních zdrojů a manažerské schopnosti), tak vnějších faktorů (např. makroekonomických faktorů)</w:t>
      </w:r>
      <w:r>
        <w:rPr>
          <w:rFonts w:ascii="Roboto" w:hAnsi="Roboto"/>
          <w:color w:val="000000"/>
          <w:sz w:val="21"/>
          <w:szCs w:val="21"/>
          <w:shd w:val="clear" w:color="auto" w:fill="FAFAFA"/>
        </w:rPr>
        <w:t xml:space="preserve">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Dickinson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et al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2018). </w:t>
      </w:r>
      <w:r w:rsidRPr="00A67FF0">
        <w:rPr>
          <w:rFonts w:ascii="Arial" w:hAnsi="Arial" w:cs="Arial"/>
          <w:color w:val="222222"/>
          <w:sz w:val="20"/>
          <w:szCs w:val="20"/>
          <w:shd w:val="clear" w:color="auto" w:fill="FFFFFF"/>
        </w:rPr>
        <w:t>Na rozdíl od životních cyklů produktu nemusí životní cyklus firmy postupovat lineárně přes fáze zavedení, růstu, zrání a úpadku. Ve skutečnosti je optimální, aby firma recyklovala mezi růstovou a zralou fází, kde jsou zisky maximalizovány a riziko je pravděpodobně nižší, než by bylo na konci (např. zavedení a pokles).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 vyjádření životního cyklu podniku se využívají finanční data ohledně cash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flow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bookmarkStart w:id="0" w:name="bbb0115"/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"https://www.sciencedirect.com/science/article/pii/S088261101830107X" \l "bb0115" </w:instrText>
      </w:r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proofErr w:type="spellStart"/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t>Dickinson</w:t>
      </w:r>
      <w:proofErr w:type="spellEnd"/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(2011)</w:t>
      </w:r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  <w:bookmarkEnd w:id="0"/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či tržeb či výnosů</w:t>
      </w:r>
      <w:r w:rsid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8F4C1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0C4D3C58" w14:textId="77777777" w:rsidR="00A67FF0" w:rsidRPr="008F4C1B" w:rsidRDefault="00A67FF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87B6AB9" w14:textId="2C216E8C" w:rsidR="00F85FCF" w:rsidRDefault="008F4C1B" w:rsidP="00F85FCF">
      <w:pPr>
        <w:shd w:val="clear" w:color="auto" w:fill="FFFFFF"/>
        <w:spacing w:after="0" w:line="240" w:lineRule="auto"/>
        <w:textAlignment w:val="baseline"/>
        <w:outlineLvl w:val="2"/>
      </w:pPr>
      <w:r>
        <w:t>V</w:t>
      </w:r>
      <w:r w:rsidR="00F85FCF">
        <w:t>znik (založení)</w:t>
      </w:r>
    </w:p>
    <w:p w14:paraId="09844D85" w14:textId="3EA7E18E" w:rsidR="00F85FCF" w:rsidRDefault="008F4C1B" w:rsidP="008F4C1B">
      <w:pPr>
        <w:shd w:val="clear" w:color="auto" w:fill="FFFFFF"/>
        <w:spacing w:after="0" w:line="240" w:lineRule="auto"/>
        <w:jc w:val="both"/>
        <w:textAlignment w:val="baseline"/>
        <w:outlineLvl w:val="2"/>
      </w:pPr>
      <w:r w:rsidRPr="008F4C1B">
        <w:t>Počáteční fáze je fází pro mladé a dynamické firmy, které jsou obecně v procesu zakládání.</w:t>
      </w:r>
      <w:r>
        <w:t xml:space="preserve"> </w:t>
      </w:r>
      <w:r w:rsidR="001903CD">
        <w:t xml:space="preserve">Založení podniku </w:t>
      </w:r>
      <w:r>
        <w:t>p</w:t>
      </w:r>
      <w:r w:rsidR="001903CD">
        <w:t>ři rozhodování o založení podniku je nezbytné brát v úvahu celou řadu faktorů, které mohou ovlivnit úspěch či neúspěch podnikání</w:t>
      </w:r>
      <w:r>
        <w:t>.</w:t>
      </w:r>
      <w:r w:rsidRPr="008F4C1B">
        <w:t xml:space="preserve"> </w:t>
      </w:r>
      <w:r>
        <w:t>Firmy přidělují své</w:t>
      </w:r>
      <w:r>
        <w:t xml:space="preserve"> </w:t>
      </w:r>
      <w:r>
        <w:t>zdroje na vývoj nových služeb a produktů s cílem získat komparativní výhodu v ostatních fázích. Firemní riziko je</w:t>
      </w:r>
      <w:r>
        <w:t xml:space="preserve"> </w:t>
      </w:r>
      <w:r>
        <w:t>nejvyšší v této fázi, protože firmy jsou v procesu rozvoje s ohledem na mnoho finančních ukazatelů a nejistoty</w:t>
      </w:r>
      <w:r>
        <w:t xml:space="preserve"> </w:t>
      </w:r>
      <w:r>
        <w:t>je na maximální úrovni o budoucnosti společnosti. Firmy mají menší hodnoty, pokud jde o celková aktiva, celkové tržby a</w:t>
      </w:r>
      <w:r>
        <w:t xml:space="preserve"> tržní hodnotu</w:t>
      </w:r>
      <w:r>
        <w:t>.</w:t>
      </w:r>
      <w:r>
        <w:t xml:space="preserve"> R</w:t>
      </w:r>
      <w:r>
        <w:t>ůstová příležitost je důležitou</w:t>
      </w:r>
      <w:r>
        <w:t xml:space="preserve"> </w:t>
      </w:r>
      <w:r>
        <w:t>součástí hodnoty firmy v této fázi, budou firmy potřebovat finanční prostředky na investice do projektů, které mají k</w:t>
      </w:r>
      <w:r>
        <w:t>ladnou čistou současnou hodnotu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Gulec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 F.,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Karacaer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(2017).</w:t>
      </w:r>
    </w:p>
    <w:p w14:paraId="248E8D89" w14:textId="0BD87765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0A692121" w14:textId="7E28B4BE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7AAAE158" w14:textId="77777777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6891A09D" w14:textId="77777777" w:rsidR="00F85FCF" w:rsidRDefault="00F85FCF" w:rsidP="00F85FCF">
      <w:pPr>
        <w:shd w:val="clear" w:color="auto" w:fill="FFFFFF"/>
        <w:spacing w:after="0" w:line="240" w:lineRule="auto"/>
        <w:textAlignment w:val="baseline"/>
        <w:outlineLvl w:val="2"/>
      </w:pPr>
      <w:r>
        <w:t>růst</w:t>
      </w:r>
    </w:p>
    <w:p w14:paraId="72DE3976" w14:textId="77777777" w:rsidR="008F4C1B" w:rsidRDefault="001903CD" w:rsidP="008F4C1B">
      <w:pPr>
        <w:shd w:val="clear" w:color="auto" w:fill="FFFFFF"/>
        <w:spacing w:after="0" w:line="240" w:lineRule="auto"/>
        <w:textAlignment w:val="baseline"/>
        <w:outlineLvl w:val="2"/>
      </w:pPr>
      <w:r>
        <w:t>Bývá spojována se změnou velikosti podniku a se strukturálními změnami. Růst lze chápat jako růst interní nebo externí. Při interním růstu dochází k rozšiřování činnosti podniku. Jak lze rozšiřovat podnikové činnosti? Může dojít ke zvyšování prodeje existujících produktů na existujících trzích, k prodeji nových produktů na těchto trzích, k prodeji existujících produktů na zcela nových trzích nebo k prodeji nových produktů na nových trzích.</w:t>
      </w:r>
      <w:r w:rsidR="008F4C1B">
        <w:t xml:space="preserve">(Hyršlová 2010). </w:t>
      </w:r>
      <w:r w:rsidR="008F4C1B">
        <w:t>Ve fázi růstu mají relativně mladší firmy obvykle nové produkty a technologie. Peněžní toky z provozní činnosti a zisku budou postupně kladné, pokud firmy přežijí v počáteční fázi a budou dále růst. Očekávané zisky z</w:t>
      </w:r>
    </w:p>
    <w:p w14:paraId="5CD0CF63" w14:textId="524F5DC6" w:rsidR="00F85FCF" w:rsidRDefault="008F4C1B" w:rsidP="008F4C1B">
      <w:pPr>
        <w:shd w:val="clear" w:color="auto" w:fill="FFFFFF"/>
        <w:spacing w:after="0" w:line="240" w:lineRule="auto"/>
        <w:textAlignment w:val="baseline"/>
        <w:outlineLvl w:val="2"/>
      </w:pPr>
      <w:r>
        <w:t>investičních příležitostí se zvyšují a potřeba financování bude ještě citelnější.</w:t>
      </w:r>
      <w:r w:rsidR="001903CD">
        <w:t xml:space="preserve"> </w:t>
      </w:r>
    </w:p>
    <w:p w14:paraId="4E1AB599" w14:textId="7A7C4EC7" w:rsidR="00F85FCF" w:rsidRDefault="00F85FCF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0DE730AA" w14:textId="7942B3B5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0EF531AD" w14:textId="77777777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4B1AB9BB" w14:textId="05484F9A" w:rsidR="00F85FCF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  <w:r>
        <w:t xml:space="preserve">Dospělost </w:t>
      </w:r>
    </w:p>
    <w:p w14:paraId="67618A0F" w14:textId="688DD9BF" w:rsidR="008F4C1B" w:rsidRDefault="008F4C1B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0A1E7708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Firmy vykazují nižší nebo mírné tempo růstu tržeb a finanční potřeby jsou zajišťovány z interních zdrojů. Aktiva v</w:t>
      </w:r>
    </w:p>
    <w:p w14:paraId="4DC91DC9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na místě jsou vyšší než růstové příležitosti pro zjištění hodnoty firmy. Ve fázi zralosti jsou výrobní aktiva</w:t>
      </w:r>
    </w:p>
    <w:p w14:paraId="3788847B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plněji využívána, protože bylo plně dosaženo úspor z rozsahu. Přitom se zvyšuje počet výrobců a konkurence,</w:t>
      </w:r>
    </w:p>
    <w:p w14:paraId="0B4F4212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podíl na trhu se postupně snižuje. Investiční projekty s kladnou čistou současnou hodnotou se relativně snižují s tím, jak se snižuje konkurence.</w:t>
      </w:r>
    </w:p>
    <w:p w14:paraId="3203F4E3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lastRenderedPageBreak/>
        <w:t>a výrobky společností dosahují dostatečného nasycení trhu.</w:t>
      </w:r>
      <w:r>
        <w:t xml:space="preserve">  </w:t>
      </w:r>
      <w:r>
        <w:t>Nejistota a náklady na půjčky klesají kvůli nárůstu zajištěných aktiv,</w:t>
      </w:r>
    </w:p>
    <w:p w14:paraId="5CD665D4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výdělky a peněžní toky. Částky odpisů jsou na úrovni financování výměny a údržby aktiv. Firmy s a</w:t>
      </w:r>
    </w:p>
    <w:p w14:paraId="280D6D27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za největší jsou považovány mírné tempo růstu tržeb a kapitálové výdaje a průměrné výplaty dividend</w:t>
      </w:r>
    </w:p>
    <w:p w14:paraId="24E75FB0" w14:textId="262143AA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kandidáty doby splatnosti.</w:t>
      </w:r>
    </w:p>
    <w:p w14:paraId="62978FE4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 xml:space="preserve">Firmy s </w:t>
      </w:r>
      <w:proofErr w:type="gramStart"/>
      <w:r>
        <w:t>mírné</w:t>
      </w:r>
      <w:proofErr w:type="gramEnd"/>
      <w:r>
        <w:t xml:space="preserve"> tempo růstu tržeb a kapitálových výdajů a průměrné výplaty dividend jsou považovány za největší.</w:t>
      </w:r>
    </w:p>
    <w:p w14:paraId="718E2AEF" w14:textId="6B7818C8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kandidáty na období splatnosti</w:t>
      </w:r>
    </w:p>
    <w:p w14:paraId="4CFE9C36" w14:textId="77777777" w:rsidR="00497A0A" w:rsidRDefault="00497A0A" w:rsidP="00497A0A">
      <w:pPr>
        <w:pStyle w:val="Normlnweb"/>
        <w:shd w:val="clear" w:color="auto" w:fill="FFFFFF"/>
        <w:spacing w:before="0" w:beforeAutospacing="0" w:after="0" w:afterAutospacing="0" w:line="480" w:lineRule="auto"/>
        <w:rPr>
          <w:color w:val="474747"/>
          <w:sz w:val="30"/>
          <w:szCs w:val="30"/>
        </w:rPr>
      </w:pPr>
      <w:r>
        <w:rPr>
          <w:rFonts w:ascii="Segoe UI" w:hAnsi="Segoe UI" w:cs="Segoe UI"/>
          <w:color w:val="57595D"/>
          <w:sz w:val="27"/>
          <w:szCs w:val="27"/>
          <w:shd w:val="clear" w:color="auto" w:fill="FFFFFF"/>
        </w:rPr>
        <w:t>e však důležité poznamenat, že mnoho podniků během této fáze prodlužuje svůj obchodní životní cyklus tím, že se znovuobjevuje a investuje do nových technologií a rozvíjejících se trhů. To umožňuje společnostem změnit pozici ve svých dynamických odvětvích a obnovit svůj růst na trhu.</w:t>
      </w:r>
      <w:r>
        <w:rPr>
          <w:rFonts w:ascii="Segoe UI" w:hAnsi="Segoe UI" w:cs="Segoe UI"/>
          <w:color w:val="5759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74747"/>
          <w:sz w:val="30"/>
          <w:szCs w:val="30"/>
        </w:rPr>
        <w:t>Jak</w:t>
      </w:r>
      <w:proofErr w:type="spellEnd"/>
      <w:r>
        <w:rPr>
          <w:color w:val="474747"/>
          <w:sz w:val="30"/>
          <w:szCs w:val="30"/>
        </w:rPr>
        <w:t xml:space="preserve"> se </w:t>
      </w:r>
      <w:proofErr w:type="spellStart"/>
      <w:r>
        <w:rPr>
          <w:color w:val="474747"/>
          <w:sz w:val="30"/>
          <w:szCs w:val="30"/>
        </w:rPr>
        <w:t>odvětví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blíží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zralosti</w:t>
      </w:r>
      <w:proofErr w:type="spellEnd"/>
      <w:r>
        <w:rPr>
          <w:color w:val="474747"/>
          <w:sz w:val="30"/>
          <w:szCs w:val="30"/>
        </w:rPr>
        <w:t xml:space="preserve">, </w:t>
      </w:r>
      <w:proofErr w:type="spellStart"/>
      <w:r>
        <w:rPr>
          <w:color w:val="474747"/>
          <w:sz w:val="30"/>
          <w:szCs w:val="30"/>
        </w:rPr>
        <w:t>křivka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životního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cyklu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odvětví</w:t>
      </w:r>
      <w:proofErr w:type="spellEnd"/>
      <w:r>
        <w:rPr>
          <w:color w:val="474747"/>
          <w:sz w:val="30"/>
          <w:szCs w:val="30"/>
        </w:rPr>
        <w:t xml:space="preserve"> se </w:t>
      </w:r>
      <w:proofErr w:type="spellStart"/>
      <w:r>
        <w:rPr>
          <w:color w:val="474747"/>
          <w:sz w:val="30"/>
          <w:szCs w:val="30"/>
        </w:rPr>
        <w:t>znatelně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zplošťuje</w:t>
      </w:r>
      <w:proofErr w:type="spellEnd"/>
      <w:r>
        <w:rPr>
          <w:color w:val="474747"/>
          <w:sz w:val="30"/>
          <w:szCs w:val="30"/>
        </w:rPr>
        <w:t xml:space="preserve">, </w:t>
      </w:r>
      <w:proofErr w:type="spellStart"/>
      <w:r>
        <w:rPr>
          <w:color w:val="474747"/>
          <w:sz w:val="30"/>
          <w:szCs w:val="30"/>
        </w:rPr>
        <w:t>což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naznačuje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zpomalení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růstu</w:t>
      </w:r>
      <w:proofErr w:type="spellEnd"/>
      <w:r>
        <w:rPr>
          <w:color w:val="474747"/>
          <w:sz w:val="30"/>
          <w:szCs w:val="30"/>
        </w:rPr>
        <w:t>. </w:t>
      </w:r>
      <w:proofErr w:type="spellStart"/>
      <w:r>
        <w:rPr>
          <w:color w:val="474747"/>
          <w:sz w:val="30"/>
          <w:szCs w:val="30"/>
        </w:rPr>
        <w:t>Někteří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odborníci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označili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další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fázi</w:t>
      </w:r>
      <w:proofErr w:type="spellEnd"/>
      <w:r>
        <w:rPr>
          <w:color w:val="474747"/>
          <w:sz w:val="30"/>
          <w:szCs w:val="30"/>
        </w:rPr>
        <w:t xml:space="preserve">, </w:t>
      </w:r>
      <w:proofErr w:type="spellStart"/>
      <w:r>
        <w:rPr>
          <w:color w:val="474747"/>
          <w:sz w:val="30"/>
          <w:szCs w:val="30"/>
        </w:rPr>
        <w:t>nazývanou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expanze</w:t>
      </w:r>
      <w:proofErr w:type="spellEnd"/>
      <w:r>
        <w:rPr>
          <w:color w:val="474747"/>
          <w:sz w:val="30"/>
          <w:szCs w:val="30"/>
        </w:rPr>
        <w:t xml:space="preserve">, </w:t>
      </w:r>
      <w:proofErr w:type="spellStart"/>
      <w:r>
        <w:rPr>
          <w:color w:val="474747"/>
          <w:sz w:val="30"/>
          <w:szCs w:val="30"/>
        </w:rPr>
        <w:t>mezi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růstem</w:t>
      </w:r>
      <w:proofErr w:type="spellEnd"/>
      <w:r>
        <w:rPr>
          <w:color w:val="474747"/>
          <w:sz w:val="30"/>
          <w:szCs w:val="30"/>
        </w:rPr>
        <w:t xml:space="preserve"> a </w:t>
      </w:r>
      <w:proofErr w:type="spellStart"/>
      <w:r>
        <w:rPr>
          <w:color w:val="474747"/>
          <w:sz w:val="30"/>
          <w:szCs w:val="30"/>
        </w:rPr>
        <w:t>zralostí</w:t>
      </w:r>
      <w:proofErr w:type="spellEnd"/>
      <w:r>
        <w:rPr>
          <w:color w:val="474747"/>
          <w:sz w:val="30"/>
          <w:szCs w:val="30"/>
        </w:rPr>
        <w:t>. </w:t>
      </w:r>
      <w:proofErr w:type="spellStart"/>
      <w:r>
        <w:rPr>
          <w:color w:val="474747"/>
          <w:sz w:val="30"/>
          <w:szCs w:val="30"/>
        </w:rPr>
        <w:t>Zatímco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prodeje</w:t>
      </w:r>
      <w:proofErr w:type="spellEnd"/>
      <w:r>
        <w:rPr>
          <w:color w:val="474747"/>
          <w:sz w:val="30"/>
          <w:szCs w:val="30"/>
        </w:rPr>
        <w:t xml:space="preserve"> se </w:t>
      </w:r>
      <w:proofErr w:type="spellStart"/>
      <w:r>
        <w:rPr>
          <w:color w:val="474747"/>
          <w:sz w:val="30"/>
          <w:szCs w:val="30"/>
        </w:rPr>
        <w:t>rozšiřují</w:t>
      </w:r>
      <w:proofErr w:type="spellEnd"/>
      <w:r>
        <w:rPr>
          <w:color w:val="474747"/>
          <w:sz w:val="30"/>
          <w:szCs w:val="30"/>
        </w:rPr>
        <w:t xml:space="preserve"> a </w:t>
      </w:r>
      <w:proofErr w:type="spellStart"/>
      <w:r>
        <w:rPr>
          <w:color w:val="474747"/>
          <w:sz w:val="30"/>
          <w:szCs w:val="30"/>
        </w:rPr>
        <w:t>příjmy</w:t>
      </w:r>
      <w:proofErr w:type="spellEnd"/>
      <w:r>
        <w:rPr>
          <w:color w:val="474747"/>
          <w:sz w:val="30"/>
          <w:szCs w:val="30"/>
        </w:rPr>
        <w:t xml:space="preserve"> z </w:t>
      </w:r>
      <w:proofErr w:type="spellStart"/>
      <w:r>
        <w:rPr>
          <w:color w:val="474747"/>
          <w:sz w:val="30"/>
          <w:szCs w:val="30"/>
        </w:rPr>
        <w:t>těchto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produktů</w:t>
      </w:r>
      <w:proofErr w:type="spellEnd"/>
      <w:r>
        <w:rPr>
          <w:color w:val="474747"/>
          <w:sz w:val="30"/>
          <w:szCs w:val="30"/>
        </w:rPr>
        <w:t xml:space="preserve"> „</w:t>
      </w:r>
      <w:proofErr w:type="spellStart"/>
      <w:r>
        <w:rPr>
          <w:color w:val="474747"/>
          <w:sz w:val="30"/>
          <w:szCs w:val="30"/>
        </w:rPr>
        <w:t>dojné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krávy</w:t>
      </w:r>
      <w:proofErr w:type="spellEnd"/>
      <w:proofErr w:type="gramStart"/>
      <w:r>
        <w:rPr>
          <w:color w:val="474747"/>
          <w:sz w:val="30"/>
          <w:szCs w:val="30"/>
        </w:rPr>
        <w:t xml:space="preserve">“ </w:t>
      </w:r>
      <w:proofErr w:type="spellStart"/>
      <w:r>
        <w:rPr>
          <w:color w:val="474747"/>
          <w:sz w:val="30"/>
          <w:szCs w:val="30"/>
        </w:rPr>
        <w:t>rostou</w:t>
      </w:r>
      <w:proofErr w:type="spellEnd"/>
      <w:proofErr w:type="gramEnd"/>
      <w:r>
        <w:rPr>
          <w:color w:val="474747"/>
          <w:sz w:val="30"/>
          <w:szCs w:val="30"/>
        </w:rPr>
        <w:t xml:space="preserve">, tempo se z </w:t>
      </w:r>
      <w:proofErr w:type="spellStart"/>
      <w:r>
        <w:rPr>
          <w:color w:val="474747"/>
          <w:sz w:val="30"/>
          <w:szCs w:val="30"/>
        </w:rPr>
        <w:t>fáze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růstu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zpomalilo</w:t>
      </w:r>
      <w:proofErr w:type="spellEnd"/>
      <w:r>
        <w:rPr>
          <w:color w:val="474747"/>
          <w:sz w:val="30"/>
          <w:szCs w:val="30"/>
        </w:rPr>
        <w:t>. </w:t>
      </w:r>
      <w:proofErr w:type="spellStart"/>
      <w:r>
        <w:rPr>
          <w:color w:val="474747"/>
          <w:sz w:val="30"/>
          <w:szCs w:val="30"/>
        </w:rPr>
        <w:t>Ve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skutečnosti</w:t>
      </w:r>
      <w:proofErr w:type="spellEnd"/>
      <w:r>
        <w:rPr>
          <w:color w:val="474747"/>
          <w:sz w:val="30"/>
          <w:szCs w:val="30"/>
        </w:rPr>
        <w:t xml:space="preserve"> se </w:t>
      </w:r>
      <w:proofErr w:type="spellStart"/>
      <w:r>
        <w:rPr>
          <w:color w:val="474747"/>
          <w:sz w:val="30"/>
          <w:szCs w:val="30"/>
        </w:rPr>
        <w:t>míra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expanze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prodeje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obvykle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rovná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tempu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růstu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ekonomiky</w:t>
      </w:r>
      <w:proofErr w:type="spellEnd"/>
      <w:r>
        <w:rPr>
          <w:color w:val="474747"/>
          <w:sz w:val="30"/>
          <w:szCs w:val="30"/>
        </w:rPr>
        <w:t>.</w:t>
      </w:r>
    </w:p>
    <w:p w14:paraId="5EBB9CA1" w14:textId="77777777" w:rsidR="00497A0A" w:rsidRDefault="00497A0A" w:rsidP="00497A0A">
      <w:pPr>
        <w:pStyle w:val="Normlnweb"/>
        <w:shd w:val="clear" w:color="auto" w:fill="FFFFFF"/>
        <w:spacing w:before="0" w:beforeAutospacing="0" w:after="0" w:afterAutospacing="0" w:line="480" w:lineRule="auto"/>
        <w:rPr>
          <w:color w:val="474747"/>
          <w:sz w:val="30"/>
          <w:szCs w:val="30"/>
        </w:rPr>
      </w:pPr>
      <w:proofErr w:type="spellStart"/>
      <w:r>
        <w:rPr>
          <w:color w:val="474747"/>
          <w:sz w:val="30"/>
          <w:szCs w:val="30"/>
        </w:rPr>
        <w:t>Bude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zřejmá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určitá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konkurence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strany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pozdě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vstupujících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subjektů</w:t>
      </w:r>
      <w:proofErr w:type="spellEnd"/>
      <w:r>
        <w:rPr>
          <w:color w:val="474747"/>
          <w:sz w:val="30"/>
          <w:szCs w:val="30"/>
        </w:rPr>
        <w:t xml:space="preserve"> a </w:t>
      </w:r>
      <w:proofErr w:type="spellStart"/>
      <w:proofErr w:type="gramStart"/>
      <w:r>
        <w:rPr>
          <w:color w:val="474747"/>
          <w:sz w:val="30"/>
          <w:szCs w:val="30"/>
        </w:rPr>
        <w:t>tito</w:t>
      </w:r>
      <w:proofErr w:type="spellEnd"/>
      <w:proofErr w:type="gram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noví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účastníci</w:t>
      </w:r>
      <w:proofErr w:type="spellEnd"/>
      <w:r>
        <w:rPr>
          <w:color w:val="474747"/>
          <w:sz w:val="30"/>
          <w:szCs w:val="30"/>
        </w:rPr>
        <w:t xml:space="preserve"> se </w:t>
      </w:r>
      <w:proofErr w:type="spellStart"/>
      <w:r>
        <w:rPr>
          <w:color w:val="474747"/>
          <w:sz w:val="30"/>
          <w:szCs w:val="30"/>
        </w:rPr>
        <w:t>budou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snažit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ukrást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podíl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na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trhu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ze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stávajících</w:t>
      </w:r>
      <w:proofErr w:type="spellEnd"/>
      <w:r>
        <w:rPr>
          <w:color w:val="474747"/>
          <w:sz w:val="30"/>
          <w:szCs w:val="30"/>
        </w:rPr>
        <w:t xml:space="preserve"> </w:t>
      </w:r>
      <w:proofErr w:type="spellStart"/>
      <w:r>
        <w:rPr>
          <w:color w:val="474747"/>
          <w:sz w:val="30"/>
          <w:szCs w:val="30"/>
        </w:rPr>
        <w:t>produktů</w:t>
      </w:r>
      <w:proofErr w:type="spellEnd"/>
      <w:r>
        <w:rPr>
          <w:color w:val="474747"/>
          <w:sz w:val="30"/>
          <w:szCs w:val="30"/>
        </w:rPr>
        <w:t>. </w:t>
      </w:r>
    </w:p>
    <w:p w14:paraId="2E48871A" w14:textId="4B26382D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0646F9AA" w14:textId="6BE49B56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3C28355E" w14:textId="6D942C31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687033DB" w14:textId="338253AB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29D08B4F" w14:textId="06C29B54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  <w:r>
        <w:t>Krize  (zánik)</w:t>
      </w:r>
    </w:p>
    <w:p w14:paraId="7AAA2717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Konkurence na trhu je extrémně vysoká, zatímco podíl na trhu klesá a strategie expanze nabízí menší potenciál zisku. Vzhledem k tomu, že</w:t>
      </w:r>
    </w:p>
    <w:p w14:paraId="69830503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změn v technologiích nebo očekávání spotřebitelů a rostoucí konkurence může dojít k poklesu tržního podílu.</w:t>
      </w:r>
      <w:r>
        <w:t xml:space="preserve"> </w:t>
      </w:r>
      <w:r>
        <w:t>V důsledku poklesu poptávky po výrobcích podniků se snižuje ziskovost a rozdělování dividend.</w:t>
      </w:r>
    </w:p>
    <w:p w14:paraId="626439BA" w14:textId="7777777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lastRenderedPageBreak/>
        <w:t>jsou rovněž nepříznivě ovlivněny. Zatímco volatilita zisků je relativně vyšší, perzistence zisků je poměrně nízká.</w:t>
      </w:r>
    </w:p>
    <w:p w14:paraId="72CDA919" w14:textId="3A077527" w:rsidR="00497A0A" w:rsidRDefault="00497A0A" w:rsidP="00497A0A">
      <w:pPr>
        <w:shd w:val="clear" w:color="auto" w:fill="FFFFFF"/>
        <w:spacing w:after="0" w:line="240" w:lineRule="auto"/>
        <w:textAlignment w:val="baseline"/>
        <w:outlineLvl w:val="2"/>
      </w:pPr>
      <w:r>
        <w:t>Firmy, které se nacházejí ve fázi úpadku, nemusí nutně skončit např. bankrotem nebo jakýmkoli úpadkem</w:t>
      </w:r>
    </w:p>
    <w:p w14:paraId="7BDA20DE" w14:textId="7467CA5D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</w:pPr>
      <w:r>
        <w:rPr>
          <w:rFonts w:ascii="Segoe UI" w:hAnsi="Segoe UI" w:cs="Segoe UI"/>
          <w:color w:val="57595D"/>
          <w:sz w:val="27"/>
          <w:szCs w:val="27"/>
          <w:shd w:val="clear" w:color="auto" w:fill="FFFFFF"/>
        </w:rPr>
        <w:t>V konečné fázi životního cyklu podniku klesají tržby, zisk a peněžní tok. Během této fáze společnosti akceptují svou neschopnost prodloužit svůj obchodní životní cyklus tím, že se přizpůsobí měnícímu se podnikatelskému prostředí. Firmy ztrácejí svou </w:t>
      </w:r>
      <w:hyperlink r:id="rId4" w:history="1">
        <w:r>
          <w:rPr>
            <w:rStyle w:val="Hypertextovodkaz"/>
            <w:rFonts w:ascii="Segoe UI" w:hAnsi="Segoe UI" w:cs="Segoe UI"/>
            <w:color w:val="3271D2"/>
            <w:sz w:val="27"/>
            <w:szCs w:val="27"/>
            <w:u w:val="none"/>
            <w:shd w:val="clear" w:color="auto" w:fill="FFFFFF"/>
          </w:rPr>
          <w:t>konkurenční výhodu</w:t>
        </w:r>
      </w:hyperlink>
      <w:r>
        <w:rPr>
          <w:rFonts w:ascii="Segoe UI" w:hAnsi="Segoe UI" w:cs="Segoe UI"/>
          <w:color w:val="57595D"/>
          <w:sz w:val="27"/>
          <w:szCs w:val="27"/>
          <w:shd w:val="clear" w:color="auto" w:fill="FFFFFF"/>
        </w:rPr>
        <w:t> a nakonec opouštějí trh.</w:t>
      </w:r>
    </w:p>
    <w:p w14:paraId="4CCE4B85" w14:textId="641D6C4D" w:rsidR="00F85FCF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  <w:r>
        <w:t xml:space="preserve">Úspěšný růst podniku není neomezený a v určitém okamžiku každý podnik dosáhne vrcholu svých možností. Pokud se podnik nepřizpůsobí změněným </w:t>
      </w:r>
      <w:proofErr w:type="gramStart"/>
      <w:r>
        <w:t>podmínkách</w:t>
      </w:r>
      <w:proofErr w:type="gramEnd"/>
      <w:r>
        <w:t>, dostává se do vleklých finančních obtíží – hovoříme o stadiu krize, které může skončit až zánikem podniku. Jaké mohou být příčiny krizového vývoje</w:t>
      </w:r>
      <w:r w:rsidR="00497A0A">
        <w:t xml:space="preserve"> (</w:t>
      </w:r>
      <w:r w:rsidR="00497A0A">
        <w:t>.(Hyršlová 2010</w:t>
      </w:r>
      <w:r w:rsidR="00497A0A">
        <w:t>)</w:t>
      </w:r>
      <w:r>
        <w:t>?</w:t>
      </w:r>
    </w:p>
    <w:p w14:paraId="382704EF" w14:textId="77777777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634E4359" w14:textId="77777777" w:rsidR="00F85FCF" w:rsidRDefault="00F85FCF" w:rsidP="00F85FCF">
      <w:pPr>
        <w:shd w:val="clear" w:color="auto" w:fill="FFFFFF"/>
        <w:spacing w:after="0" w:line="240" w:lineRule="auto"/>
        <w:textAlignment w:val="baseline"/>
        <w:outlineLvl w:val="2"/>
      </w:pPr>
    </w:p>
    <w:p w14:paraId="5DA431DE" w14:textId="76E1AF9B" w:rsidR="00F85FCF" w:rsidRDefault="00F85FCF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  <w:r>
        <w:t xml:space="preserve"> zánik.</w:t>
      </w:r>
    </w:p>
    <w:p w14:paraId="20F8C5BF" w14:textId="1BF936FA" w:rsidR="00F85FCF" w:rsidRDefault="00497A0A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  <w:r>
        <w:rPr>
          <w:color w:val="474747"/>
          <w:sz w:val="30"/>
          <w:szCs w:val="30"/>
          <w:shd w:val="clear" w:color="auto" w:fill="FFFFFF"/>
        </w:rPr>
        <w:t>Poklesy jsou v odvětví téměř nevyhnutelné. </w:t>
      </w:r>
    </w:p>
    <w:p w14:paraId="5D4136FA" w14:textId="4E7C3B85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  <w:r>
        <w:t>Zánik podniku představuje poslední fázi životního cyklu. K zániku podniku může dojít i z jiných příčin, než jsou jeho ekonomické problémy a neúspěšná sanace; např.: uplyne doba, na kterou byl podnik založen; byl splněn cíl, pro který byl podnik založen; podnikatel se k ukončení činnosti dobrovolně rozhodne apod. Bez ohledu na příčinu probíhá závěrečná fáze životního cyklu podniku ve více krocích; nejprve dojde ke zrušení (zrušení může být s likvidací nebo bez likvidace) a poté k zániku podniku.</w:t>
      </w:r>
    </w:p>
    <w:p w14:paraId="1DA620D1" w14:textId="0945AC60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</w:p>
    <w:p w14:paraId="50F28610" w14:textId="42BEC500" w:rsidR="001903CD" w:rsidRDefault="001903CD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</w:p>
    <w:p w14:paraId="2B9862F9" w14:textId="1019B95C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</w:p>
    <w:p w14:paraId="45E8BC2A" w14:textId="12E6F6E0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  <w:proofErr w:type="spellStart"/>
      <w:r>
        <w:rPr>
          <w:color w:val="474747"/>
          <w:sz w:val="30"/>
          <w:szCs w:val="30"/>
          <w:shd w:val="clear" w:color="auto" w:fill="FFFFFF"/>
        </w:rPr>
        <w:t>ektivita</w:t>
      </w:r>
      <w:proofErr w:type="spellEnd"/>
      <w:r>
        <w:rPr>
          <w:color w:val="474747"/>
          <w:sz w:val="30"/>
          <w:szCs w:val="30"/>
          <w:shd w:val="clear" w:color="auto" w:fill="FFFFFF"/>
        </w:rPr>
        <w:t xml:space="preserve"> řízení může pomoci prodloužit fázi zralosti životního cyklu. Zlepšení výroby, jako jsou metody just-in-</w:t>
      </w:r>
      <w:proofErr w:type="spellStart"/>
      <w:r>
        <w:rPr>
          <w:color w:val="474747"/>
          <w:sz w:val="30"/>
          <w:szCs w:val="30"/>
          <w:shd w:val="clear" w:color="auto" w:fill="FFFFFF"/>
        </w:rPr>
        <w:t>time</w:t>
      </w:r>
      <w:proofErr w:type="spellEnd"/>
      <w:r>
        <w:rPr>
          <w:color w:val="474747"/>
          <w:sz w:val="30"/>
          <w:szCs w:val="30"/>
          <w:shd w:val="clear" w:color="auto" w:fill="FFFFFF"/>
        </w:rPr>
        <w:t xml:space="preserve"> a štíhlá výroba, mohou vést k dalším ziskům. Technologie, automatizace a propojení dodavatelů a zákazníků v úzkém dodavatelském řetězci jsou také způsoby, jak zvýšit efektivitu.</w:t>
      </w:r>
      <w:bookmarkStart w:id="1" w:name="_GoBack"/>
      <w:bookmarkEnd w:id="1"/>
    </w:p>
    <w:p w14:paraId="4127B37B" w14:textId="2B1D50DF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</w:p>
    <w:p w14:paraId="1EB45707" w14:textId="077B5D1F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</w:p>
    <w:p w14:paraId="22B01CDF" w14:textId="77777777" w:rsidR="00497A0A" w:rsidRDefault="00497A0A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</w:pPr>
    </w:p>
    <w:p w14:paraId="692D2E93" w14:textId="7F19EF28" w:rsidR="00F85FCF" w:rsidRPr="00F85FCF" w:rsidRDefault="00F85FCF" w:rsidP="00F85FC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4D4D4D"/>
          <w:spacing w:val="15"/>
          <w:sz w:val="32"/>
          <w:szCs w:val="32"/>
          <w:lang w:eastAsia="cs-CZ"/>
        </w:rPr>
      </w:pPr>
      <w:r w:rsidRPr="00F85FCF">
        <w:rPr>
          <w:rFonts w:ascii="inherit" w:eastAsia="Times New Roman" w:hAnsi="inherit" w:cs="Arial"/>
          <w:b/>
          <w:bCs/>
          <w:color w:val="4D4D4D"/>
          <w:spacing w:val="15"/>
          <w:sz w:val="32"/>
          <w:szCs w:val="32"/>
          <w:bdr w:val="none" w:sz="0" w:space="0" w:color="auto" w:frame="1"/>
          <w:lang w:eastAsia="cs-CZ"/>
        </w:rPr>
        <w:t>Úvodní fáze</w:t>
      </w:r>
    </w:p>
    <w:p w14:paraId="26275953" w14:textId="65B5AD15" w:rsidR="00F85FCF" w:rsidRDefault="00A67FF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Dickinson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Schaberl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D. (2018).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matters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investors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stages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firm's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cycle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?.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Advances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Accounting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22-33.</w:t>
      </w:r>
    </w:p>
    <w:p w14:paraId="12C173F6" w14:textId="47546D66" w:rsidR="008F4C1B" w:rsidRDefault="008F4C1B" w:rsidP="00A67FF0">
      <w:pPr>
        <w:shd w:val="clear" w:color="auto" w:fill="F5F5F5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Dickinson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 (2011). Cash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flow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patterns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proxy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firm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cycle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accounting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review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1969-1994.</w:t>
      </w:r>
    </w:p>
    <w:p w14:paraId="0CF5C2A4" w14:textId="77777777" w:rsidR="008F4C1B" w:rsidRDefault="008F4C1B" w:rsidP="00A67F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val="en-GB" w:eastAsia="en-GB"/>
        </w:rPr>
      </w:pPr>
    </w:p>
    <w:p w14:paraId="2F2AF8B9" w14:textId="37F7359C" w:rsidR="008F4C1B" w:rsidRDefault="008F4C1B" w:rsidP="00A67FF0">
      <w:pPr>
        <w:shd w:val="clear" w:color="auto" w:fill="F5F5F5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Gulec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 F.,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Karacaer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(2017).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Corporate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cycle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emerging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markets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Evidence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Turkey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of Economics Finance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Accounting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224-236.</w:t>
      </w:r>
    </w:p>
    <w:p w14:paraId="21D07F1C" w14:textId="56A91C0E" w:rsidR="008F4C1B" w:rsidRDefault="008F4C1B" w:rsidP="00A67FF0">
      <w:pPr>
        <w:shd w:val="clear" w:color="auto" w:fill="F5F5F5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F0606E4" w14:textId="77777777" w:rsidR="008F4C1B" w:rsidRDefault="008F4C1B" w:rsidP="008F4C1B">
      <w:pPr>
        <w:rPr>
          <w:rFonts w:ascii="Roboto" w:hAnsi="Roboto"/>
          <w:color w:val="000000"/>
          <w:sz w:val="21"/>
          <w:szCs w:val="21"/>
          <w:shd w:val="clear" w:color="auto" w:fill="FAFAFA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Hyršlová, J., Klečka, J.,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Marinič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(2010).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Ekonomika podniku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Vysoká škola ekonomie a managementu.</w:t>
      </w:r>
    </w:p>
    <w:p w14:paraId="55433B5C" w14:textId="77777777" w:rsidR="008F4C1B" w:rsidRDefault="008F4C1B" w:rsidP="008F4C1B">
      <w:pPr>
        <w:rPr>
          <w:rFonts w:ascii="Roboto" w:hAnsi="Roboto"/>
          <w:color w:val="000000"/>
          <w:sz w:val="21"/>
          <w:szCs w:val="21"/>
          <w:shd w:val="clear" w:color="auto" w:fill="FAFAFA"/>
        </w:rPr>
      </w:pPr>
    </w:p>
    <w:p w14:paraId="30A6187B" w14:textId="77777777" w:rsidR="008F4C1B" w:rsidRPr="00A67FF0" w:rsidRDefault="008F4C1B" w:rsidP="00A67F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val="en-GB" w:eastAsia="en-GB"/>
        </w:rPr>
      </w:pPr>
    </w:p>
    <w:p w14:paraId="05BDF28C" w14:textId="77777777" w:rsidR="00A67FF0" w:rsidRDefault="00A67FF0"/>
    <w:sectPr w:rsidR="00A6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1903CD"/>
    <w:rsid w:val="00497A0A"/>
    <w:rsid w:val="008F4C1B"/>
    <w:rsid w:val="00A67FF0"/>
    <w:rsid w:val="00C77521"/>
    <w:rsid w:val="00E24661"/>
    <w:rsid w:val="00F72421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3AB2"/>
  <w15:chartTrackingRefBased/>
  <w15:docId w15:val="{B0AB3FAA-3D75-4DFF-80B5-F0BEA35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85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85F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7F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7FF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9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4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5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oratefinanceinstitute.com/resources/knowledge/strategy/competitive-advantag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22664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doc. Ing. Ph.D.</dc:creator>
  <cp:keywords/>
  <dc:description/>
  <cp:lastModifiedBy>Volek Tomáš doc. Ing. Ph.D.</cp:lastModifiedBy>
  <cp:revision>5</cp:revision>
  <dcterms:created xsi:type="dcterms:W3CDTF">2022-07-04T15:13:00Z</dcterms:created>
  <dcterms:modified xsi:type="dcterms:W3CDTF">2022-07-22T15:29:00Z</dcterms:modified>
</cp:coreProperties>
</file>