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F0AD6" w14:textId="3797F22F" w:rsidR="00485549" w:rsidRPr="00084F74" w:rsidRDefault="00D742C4">
      <w:pPr>
        <w:rPr>
          <w:color w:val="FF0000"/>
          <w:sz w:val="36"/>
        </w:rPr>
      </w:pPr>
      <w:r w:rsidRPr="00084F74">
        <w:rPr>
          <w:color w:val="FF0000"/>
          <w:sz w:val="36"/>
        </w:rPr>
        <w:t xml:space="preserve">Praktická část </w:t>
      </w:r>
      <w:r w:rsidR="00B1264B">
        <w:rPr>
          <w:color w:val="FF0000"/>
          <w:sz w:val="36"/>
        </w:rPr>
        <w:t xml:space="preserve"> v3</w:t>
      </w:r>
    </w:p>
    <w:p w14:paraId="378F90E1" w14:textId="77777777" w:rsidR="00972812" w:rsidRDefault="00972812"/>
    <w:p w14:paraId="19B5D91D" w14:textId="77777777" w:rsidR="00C94279" w:rsidRPr="006E44E5" w:rsidRDefault="00C94279" w:rsidP="00C94279">
      <w:pPr>
        <w:rPr>
          <w:b/>
        </w:rPr>
      </w:pPr>
      <w:r w:rsidRPr="006E44E5">
        <w:rPr>
          <w:b/>
        </w:rPr>
        <w:t xml:space="preserve">Makroekonomická část   - </w:t>
      </w:r>
      <w:proofErr w:type="spellStart"/>
      <w:r w:rsidRPr="006E44E5">
        <w:rPr>
          <w:rFonts w:ascii="TimesNewRomanPSMT" w:hAnsi="TimesNewRomanPSMT" w:cs="TimesNewRomanPSMT"/>
          <w:b/>
        </w:rPr>
        <w:t>sector-level</w:t>
      </w:r>
      <w:proofErr w:type="spellEnd"/>
    </w:p>
    <w:p w14:paraId="7056EB0C"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Produktivita</w:t>
      </w:r>
      <w:proofErr w:type="spellEnd"/>
      <w:r>
        <w:rPr>
          <w:rFonts w:ascii="Times New Roman" w:eastAsia="Times New Roman" w:hAnsi="Times New Roman" w:cs="Times New Roman"/>
          <w:color w:val="333333"/>
          <w:sz w:val="24"/>
          <w:szCs w:val="24"/>
          <w:lang w:val="en-GB" w:eastAsia="en-GB"/>
        </w:rPr>
        <w:t xml:space="preserve"> a </w:t>
      </w:r>
      <w:proofErr w:type="spellStart"/>
      <w:r>
        <w:rPr>
          <w:rFonts w:ascii="Times New Roman" w:eastAsia="Times New Roman" w:hAnsi="Times New Roman" w:cs="Times New Roman"/>
          <w:color w:val="333333"/>
          <w:sz w:val="24"/>
          <w:szCs w:val="24"/>
          <w:lang w:val="en-GB" w:eastAsia="en-GB"/>
        </w:rPr>
        <w:t>zpracovatelský</w:t>
      </w:r>
      <w:proofErr w:type="spellEnd"/>
      <w:r>
        <w:rPr>
          <w:rFonts w:ascii="Times New Roman" w:eastAsia="Times New Roman" w:hAnsi="Times New Roman" w:cs="Times New Roman"/>
          <w:color w:val="333333"/>
          <w:sz w:val="24"/>
          <w:szCs w:val="24"/>
          <w:lang w:val="en-GB" w:eastAsia="en-GB"/>
        </w:rPr>
        <w:t xml:space="preserve"> sector v </w:t>
      </w:r>
      <w:proofErr w:type="spellStart"/>
      <w:r>
        <w:rPr>
          <w:rFonts w:ascii="Times New Roman" w:eastAsia="Times New Roman" w:hAnsi="Times New Roman" w:cs="Times New Roman"/>
          <w:color w:val="333333"/>
          <w:sz w:val="24"/>
          <w:szCs w:val="24"/>
          <w:lang w:val="en-GB" w:eastAsia="en-GB"/>
        </w:rPr>
        <w:t>zemích</w:t>
      </w:r>
      <w:proofErr w:type="spellEnd"/>
      <w:r>
        <w:rPr>
          <w:rFonts w:ascii="Times New Roman" w:eastAsia="Times New Roman" w:hAnsi="Times New Roman" w:cs="Times New Roman"/>
          <w:color w:val="333333"/>
          <w:sz w:val="24"/>
          <w:szCs w:val="24"/>
          <w:lang w:val="en-GB" w:eastAsia="en-GB"/>
        </w:rPr>
        <w:t xml:space="preserve"> </w:t>
      </w:r>
      <w:proofErr w:type="gramStart"/>
      <w:r>
        <w:rPr>
          <w:rFonts w:ascii="Times New Roman" w:eastAsia="Times New Roman" w:hAnsi="Times New Roman" w:cs="Times New Roman"/>
          <w:color w:val="333333"/>
          <w:sz w:val="24"/>
          <w:szCs w:val="24"/>
          <w:lang w:val="en-GB" w:eastAsia="en-GB"/>
        </w:rPr>
        <w:t>V4  (</w:t>
      </w:r>
      <w:proofErr w:type="spellStart"/>
      <w:proofErr w:type="gramEnd"/>
      <w:r>
        <w:rPr>
          <w:rFonts w:ascii="Times New Roman" w:eastAsia="Times New Roman" w:hAnsi="Times New Roman" w:cs="Times New Roman"/>
          <w:color w:val="333333"/>
          <w:sz w:val="24"/>
          <w:szCs w:val="24"/>
          <w:lang w:val="en-GB" w:eastAsia="en-GB"/>
        </w:rPr>
        <w:t>stuktura</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dynamika</w:t>
      </w:r>
      <w:proofErr w:type="spellEnd"/>
      <w:r>
        <w:rPr>
          <w:rFonts w:ascii="Times New Roman" w:eastAsia="Times New Roman" w:hAnsi="Times New Roman" w:cs="Times New Roman"/>
          <w:color w:val="333333"/>
          <w:sz w:val="24"/>
          <w:szCs w:val="24"/>
          <w:lang w:val="en-GB" w:eastAsia="en-GB"/>
        </w:rPr>
        <w:t>)</w:t>
      </w:r>
    </w:p>
    <w:p w14:paraId="5184306E"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Zdroje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růstu</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Extenitzvní</w:t>
      </w:r>
      <w:proofErr w:type="spellEnd"/>
      <w:r>
        <w:rPr>
          <w:rFonts w:ascii="Times New Roman" w:eastAsia="Times New Roman" w:hAnsi="Times New Roman" w:cs="Times New Roman"/>
          <w:color w:val="333333"/>
          <w:sz w:val="24"/>
          <w:szCs w:val="24"/>
          <w:lang w:val="en-GB" w:eastAsia="en-GB"/>
        </w:rPr>
        <w:t xml:space="preserve"> </w:t>
      </w:r>
      <w:proofErr w:type="gramStart"/>
      <w:r>
        <w:rPr>
          <w:rFonts w:ascii="Times New Roman" w:eastAsia="Times New Roman" w:hAnsi="Times New Roman" w:cs="Times New Roman"/>
          <w:color w:val="333333"/>
          <w:sz w:val="24"/>
          <w:szCs w:val="24"/>
          <w:lang w:val="en-GB" w:eastAsia="en-GB"/>
        </w:rPr>
        <w:t>a</w:t>
      </w:r>
      <w:proofErr w:type="gram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intezivní</w:t>
      </w:r>
      <w:proofErr w:type="spellEnd"/>
      <w:r>
        <w:rPr>
          <w:rFonts w:ascii="Times New Roman" w:eastAsia="Times New Roman" w:hAnsi="Times New Roman" w:cs="Times New Roman"/>
          <w:color w:val="333333"/>
          <w:sz w:val="24"/>
          <w:szCs w:val="24"/>
          <w:lang w:val="en-GB" w:eastAsia="en-GB"/>
        </w:rPr>
        <w:t xml:space="preserve">) v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částech</w:t>
      </w:r>
      <w:proofErr w:type="spellEnd"/>
    </w:p>
    <w:p w14:paraId="5742DC94" w14:textId="77777777" w:rsidR="00C94279" w:rsidRPr="006E44E5"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r w:rsidRPr="006E44E5">
        <w:rPr>
          <w:rFonts w:ascii="Times New Roman" w:eastAsia="Times New Roman" w:hAnsi="Times New Roman" w:cs="Times New Roman"/>
          <w:color w:val="333333"/>
          <w:sz w:val="24"/>
          <w:szCs w:val="24"/>
          <w:lang w:val="en-GB" w:eastAsia="en-GB"/>
        </w:rPr>
        <w:t xml:space="preserve">Catch-up index between V4 and Germany </w:t>
      </w:r>
    </w:p>
    <w:p w14:paraId="3B14F3D4" w14:textId="77777777" w:rsidR="00C94279" w:rsidRPr="006E44E5"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sidRPr="006E44E5">
        <w:rPr>
          <w:rFonts w:ascii="Times New Roman" w:eastAsia="Times New Roman" w:hAnsi="Times New Roman" w:cs="Times New Roman"/>
          <w:color w:val="333333"/>
          <w:sz w:val="24"/>
          <w:szCs w:val="24"/>
          <w:lang w:val="en-GB" w:eastAsia="en-GB"/>
        </w:rPr>
        <w:t>Vymezení</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čtyř</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modelů</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dohánění</w:t>
      </w:r>
      <w:proofErr w:type="spellEnd"/>
    </w:p>
    <w:p w14:paraId="2DDAF298"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r w:rsidRPr="006E44E5">
        <w:rPr>
          <w:rFonts w:ascii="Times New Roman" w:eastAsia="Times New Roman" w:hAnsi="Times New Roman" w:cs="Times New Roman"/>
          <w:color w:val="333333"/>
          <w:sz w:val="24"/>
          <w:szCs w:val="24"/>
          <w:lang w:val="en-GB" w:eastAsia="en-GB"/>
        </w:rPr>
        <w:t>The Averages of TFP catch-up index by sector</w:t>
      </w:r>
    </w:p>
    <w:p w14:paraId="43997E3F"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Produkční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mezera</w:t>
      </w:r>
      <w:proofErr w:type="spellEnd"/>
      <w:r>
        <w:rPr>
          <w:rFonts w:ascii="Times New Roman" w:eastAsia="Times New Roman" w:hAnsi="Times New Roman" w:cs="Times New Roman"/>
          <w:color w:val="333333"/>
          <w:sz w:val="24"/>
          <w:szCs w:val="24"/>
          <w:lang w:val="en-GB" w:eastAsia="en-GB"/>
        </w:rPr>
        <w:t xml:space="preserve"> (gap)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odvětví</w:t>
      </w:r>
      <w:proofErr w:type="spellEnd"/>
      <w:r>
        <w:rPr>
          <w:rFonts w:ascii="Times New Roman" w:eastAsia="Times New Roman" w:hAnsi="Times New Roman" w:cs="Times New Roman"/>
          <w:color w:val="333333"/>
          <w:sz w:val="24"/>
          <w:szCs w:val="24"/>
          <w:lang w:val="en-GB" w:eastAsia="en-GB"/>
        </w:rPr>
        <w:t xml:space="preserve"> a </w:t>
      </w:r>
      <w:proofErr w:type="spellStart"/>
      <w:r>
        <w:rPr>
          <w:rFonts w:ascii="Times New Roman" w:eastAsia="Times New Roman" w:hAnsi="Times New Roman" w:cs="Times New Roman"/>
          <w:color w:val="333333"/>
          <w:sz w:val="24"/>
          <w:szCs w:val="24"/>
          <w:lang w:val="en-GB" w:eastAsia="en-GB"/>
        </w:rPr>
        <w:t>rychlost</w:t>
      </w:r>
      <w:proofErr w:type="spellEnd"/>
      <w:r>
        <w:rPr>
          <w:rFonts w:ascii="Times New Roman" w:eastAsia="Times New Roman" w:hAnsi="Times New Roman" w:cs="Times New Roman"/>
          <w:color w:val="333333"/>
          <w:sz w:val="24"/>
          <w:szCs w:val="24"/>
          <w:lang w:val="en-GB" w:eastAsia="en-GB"/>
        </w:rPr>
        <w:t xml:space="preserve"> </w:t>
      </w:r>
    </w:p>
    <w:p w14:paraId="728D063C"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proofErr w:type="gramStart"/>
      <w:r>
        <w:rPr>
          <w:rFonts w:ascii="Times New Roman" w:eastAsia="Times New Roman" w:hAnsi="Times New Roman" w:cs="Times New Roman"/>
          <w:color w:val="333333"/>
          <w:sz w:val="24"/>
          <w:szCs w:val="24"/>
          <w:lang w:val="en-GB" w:eastAsia="en-GB"/>
        </w:rPr>
        <w:t>Konvergence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produtkvity</w:t>
      </w:r>
      <w:proofErr w:type="spellEnd"/>
      <w:proofErr w:type="gram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částí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zpracovatelkého</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průmyslu</w:t>
      </w:r>
      <w:proofErr w:type="spellEnd"/>
      <w:r>
        <w:rPr>
          <w:rFonts w:ascii="Times New Roman" w:eastAsia="Times New Roman" w:hAnsi="Times New Roman" w:cs="Times New Roman"/>
          <w:color w:val="333333"/>
          <w:sz w:val="24"/>
          <w:szCs w:val="24"/>
          <w:lang w:val="en-GB" w:eastAsia="en-GB"/>
        </w:rPr>
        <w:t xml:space="preserve"> v V4</w:t>
      </w:r>
    </w:p>
    <w:p w14:paraId="2735135A"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Zda</w:t>
      </w:r>
      <w:proofErr w:type="spellEnd"/>
      <w:r>
        <w:rPr>
          <w:rFonts w:ascii="Times New Roman" w:eastAsia="Times New Roman" w:hAnsi="Times New Roman" w:cs="Times New Roman"/>
          <w:color w:val="333333"/>
          <w:sz w:val="24"/>
          <w:szCs w:val="24"/>
          <w:lang w:val="en-GB" w:eastAsia="en-GB"/>
        </w:rPr>
        <w:t xml:space="preserve"> ty </w:t>
      </w:r>
      <w:proofErr w:type="spellStart"/>
      <w:r>
        <w:rPr>
          <w:rFonts w:ascii="Times New Roman" w:eastAsia="Times New Roman" w:hAnsi="Times New Roman" w:cs="Times New Roman"/>
          <w:color w:val="333333"/>
          <w:sz w:val="24"/>
          <w:szCs w:val="24"/>
          <w:lang w:val="en-GB" w:eastAsia="en-GB"/>
        </w:rPr>
        <w:t>odvětví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které</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nejvíce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příspívají</w:t>
      </w:r>
      <w:proofErr w:type="spellEnd"/>
      <w:r>
        <w:rPr>
          <w:rFonts w:ascii="Times New Roman" w:eastAsia="Times New Roman" w:hAnsi="Times New Roman" w:cs="Times New Roman"/>
          <w:color w:val="333333"/>
          <w:sz w:val="24"/>
          <w:szCs w:val="24"/>
          <w:lang w:val="en-GB" w:eastAsia="en-GB"/>
        </w:rPr>
        <w:t xml:space="preserve"> k </w:t>
      </w:r>
      <w:proofErr w:type="spellStart"/>
      <w:r>
        <w:rPr>
          <w:rFonts w:ascii="Times New Roman" w:eastAsia="Times New Roman" w:hAnsi="Times New Roman" w:cs="Times New Roman"/>
          <w:color w:val="333333"/>
          <w:sz w:val="24"/>
          <w:szCs w:val="24"/>
          <w:lang w:val="en-GB" w:eastAsia="en-GB"/>
        </w:rPr>
        <w:t>růstu</w:t>
      </w:r>
      <w:proofErr w:type="spellEnd"/>
      <w:r>
        <w:rPr>
          <w:rFonts w:ascii="Times New Roman" w:eastAsia="Times New Roman" w:hAnsi="Times New Roman" w:cs="Times New Roman"/>
          <w:color w:val="333333"/>
          <w:sz w:val="24"/>
          <w:szCs w:val="24"/>
          <w:lang w:val="en-GB" w:eastAsia="en-GB"/>
        </w:rPr>
        <w:t xml:space="preserve"> PP </w:t>
      </w:r>
      <w:proofErr w:type="spellStart"/>
      <w:r>
        <w:rPr>
          <w:rFonts w:ascii="Times New Roman" w:eastAsia="Times New Roman" w:hAnsi="Times New Roman" w:cs="Times New Roman"/>
          <w:color w:val="333333"/>
          <w:sz w:val="24"/>
          <w:szCs w:val="24"/>
          <w:lang w:val="en-GB" w:eastAsia="en-GB"/>
        </w:rPr>
        <w:t>mají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nejvěší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konvergenci</w:t>
      </w:r>
      <w:proofErr w:type="spellEnd"/>
      <w:r>
        <w:rPr>
          <w:rFonts w:ascii="Times New Roman" w:eastAsia="Times New Roman" w:hAnsi="Times New Roman" w:cs="Times New Roman"/>
          <w:color w:val="333333"/>
          <w:sz w:val="24"/>
          <w:szCs w:val="24"/>
          <w:lang w:val="en-GB" w:eastAsia="en-GB"/>
        </w:rPr>
        <w:t xml:space="preserve"> </w:t>
      </w:r>
    </w:p>
    <w:p w14:paraId="3A34185F"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Zda</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pestrost</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zvyšuje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produktvitu</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nebo</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zde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má</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vliv</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hospodářský</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cyklus</w:t>
      </w:r>
      <w:proofErr w:type="spellEnd"/>
      <w:r>
        <w:rPr>
          <w:rFonts w:ascii="Times New Roman" w:eastAsia="Times New Roman" w:hAnsi="Times New Roman" w:cs="Times New Roman"/>
          <w:color w:val="333333"/>
          <w:sz w:val="24"/>
          <w:szCs w:val="24"/>
          <w:lang w:val="en-GB" w:eastAsia="en-GB"/>
        </w:rPr>
        <w:t xml:space="preserve"> </w:t>
      </w:r>
    </w:p>
    <w:p w14:paraId="7B97C295" w14:textId="77777777" w:rsidR="00C94279" w:rsidRDefault="00C94279"/>
    <w:p w14:paraId="0810D8AD" w14:textId="77777777" w:rsidR="00C94279" w:rsidRDefault="00C94279"/>
    <w:p w14:paraId="095512C8" w14:textId="77777777" w:rsidR="00C94279" w:rsidRDefault="00C94279"/>
    <w:p w14:paraId="1FBE4366" w14:textId="77777777" w:rsidR="00C94279" w:rsidRDefault="00C94279"/>
    <w:p w14:paraId="612C5122" w14:textId="4BDADEA3" w:rsidR="00C94279" w:rsidRDefault="00C94279"/>
    <w:p w14:paraId="269BE616" w14:textId="45D6AFC9" w:rsidR="009D7FFA" w:rsidRDefault="009D7FFA"/>
    <w:p w14:paraId="58228B08" w14:textId="403CAA04" w:rsidR="009D7FFA" w:rsidRDefault="009D7FFA"/>
    <w:p w14:paraId="72533BCF" w14:textId="7E2A64AA" w:rsidR="009D7FFA" w:rsidRDefault="009D7FFA"/>
    <w:p w14:paraId="3B64C053" w14:textId="2332FFA7" w:rsidR="009D7FFA" w:rsidRDefault="009D7FFA"/>
    <w:p w14:paraId="768678CA" w14:textId="1FD4D665" w:rsidR="009D7FFA" w:rsidRDefault="009D7FFA"/>
    <w:p w14:paraId="4331A1A8" w14:textId="62137003" w:rsidR="009D7FFA" w:rsidRDefault="009D7FFA"/>
    <w:p w14:paraId="1EBD15F5" w14:textId="57001CF0" w:rsidR="009D7FFA" w:rsidRDefault="009D7FFA"/>
    <w:p w14:paraId="3A630139" w14:textId="77777777" w:rsidR="009D7FFA" w:rsidRDefault="009D7FFA"/>
    <w:p w14:paraId="7C315E37" w14:textId="77777777" w:rsidR="00C94279" w:rsidRDefault="00C94279"/>
    <w:p w14:paraId="0CF84E28" w14:textId="77777777" w:rsidR="00C94279" w:rsidRDefault="00C94279"/>
    <w:p w14:paraId="2CDB16D8" w14:textId="77777777" w:rsidR="004B1C70" w:rsidRDefault="004B1C70" w:rsidP="004B1C70">
      <w:pPr>
        <w:jc w:val="both"/>
      </w:pPr>
      <w:r>
        <w:lastRenderedPageBreak/>
        <w:t xml:space="preserve">Cílem bude za makro a mikroekonomického pohledu posoudit jak dochází zda </w:t>
      </w:r>
      <w:proofErr w:type="spellStart"/>
      <w:r>
        <w:t>efektivnsot</w:t>
      </w:r>
      <w:proofErr w:type="spellEnd"/>
      <w:r>
        <w:t xml:space="preserve"> výrobních faktorů se odvětví ke snižování mezery produktivity ve sledovaném období a jaké jsou hlavní determinanty, které toto ovlivňují. </w:t>
      </w:r>
    </w:p>
    <w:p w14:paraId="6C082CCA" w14:textId="77777777" w:rsidR="00C94279" w:rsidRDefault="00C94279"/>
    <w:p w14:paraId="10AB36CC" w14:textId="77777777" w:rsidR="004B1C70" w:rsidRDefault="004B1C70"/>
    <w:p w14:paraId="1361FBDD" w14:textId="77777777" w:rsidR="004B1C70" w:rsidRDefault="004B1C70"/>
    <w:p w14:paraId="31081944" w14:textId="77777777" w:rsidR="00C94279" w:rsidRDefault="00C94279"/>
    <w:p w14:paraId="1EBE0039" w14:textId="24F884EC" w:rsidR="00C94279" w:rsidRDefault="00C94279"/>
    <w:p w14:paraId="6D100C07" w14:textId="1BAA4E86" w:rsidR="00FB5C7A" w:rsidRDefault="00FB5C7A"/>
    <w:p w14:paraId="6F932665" w14:textId="7B34E7F9" w:rsidR="00FB5C7A" w:rsidRDefault="00FB5C7A"/>
    <w:p w14:paraId="37B44241" w14:textId="195E88C3" w:rsidR="00FB5C7A" w:rsidRDefault="00FB5C7A"/>
    <w:p w14:paraId="5AB16FD0" w14:textId="641B69A2" w:rsidR="00FB5C7A" w:rsidRDefault="00FB5C7A"/>
    <w:p w14:paraId="0AB05B59" w14:textId="2AAD2399" w:rsidR="00FB5C7A" w:rsidRDefault="00FB5C7A"/>
    <w:p w14:paraId="4F3B7C3F" w14:textId="381A6AA8" w:rsidR="00FB5C7A" w:rsidRDefault="00FB5C7A"/>
    <w:p w14:paraId="687A8CD7" w14:textId="4079FDD4" w:rsidR="00FB5C7A" w:rsidRDefault="00FB5C7A"/>
    <w:p w14:paraId="230B932C" w14:textId="0E19BAB5" w:rsidR="00FB5C7A" w:rsidRDefault="00FB5C7A"/>
    <w:p w14:paraId="0C1C5C51" w14:textId="370E497F" w:rsidR="00FB5C7A" w:rsidRDefault="00FB5C7A"/>
    <w:p w14:paraId="3A265E36" w14:textId="6CF9059F" w:rsidR="00FB5C7A" w:rsidRDefault="00FB5C7A"/>
    <w:p w14:paraId="285993F5" w14:textId="0F8DE6C3" w:rsidR="00FB5C7A" w:rsidRDefault="00FB5C7A"/>
    <w:p w14:paraId="51DA88A0" w14:textId="47B84E65" w:rsidR="00FB5C7A" w:rsidRDefault="00FB5C7A"/>
    <w:p w14:paraId="04A46498" w14:textId="31B3BDE9" w:rsidR="00FB5C7A" w:rsidRDefault="00FB5C7A"/>
    <w:p w14:paraId="5789714E" w14:textId="4ECC991F" w:rsidR="00FB5C7A" w:rsidRDefault="00FB5C7A"/>
    <w:p w14:paraId="1A1B27A9" w14:textId="1ECD395E" w:rsidR="00FB5C7A" w:rsidRDefault="00FB5C7A"/>
    <w:p w14:paraId="421E7CC0" w14:textId="26A4B508" w:rsidR="00FB5C7A" w:rsidRDefault="00FB5C7A"/>
    <w:p w14:paraId="17C1C13C" w14:textId="7F1EDFA7" w:rsidR="00FB5C7A" w:rsidRDefault="00FB5C7A"/>
    <w:p w14:paraId="5E770719" w14:textId="1758269F" w:rsidR="00FB5C7A" w:rsidRDefault="00FB5C7A"/>
    <w:p w14:paraId="2BCE61C1" w14:textId="2788E13D" w:rsidR="00FB5C7A" w:rsidRDefault="00FB5C7A"/>
    <w:p w14:paraId="49359682" w14:textId="27DBDFA8" w:rsidR="00FB5C7A" w:rsidRDefault="00FB5C7A"/>
    <w:p w14:paraId="391FEF1F" w14:textId="19254FDB" w:rsidR="00FB5C7A" w:rsidRDefault="00FB5C7A"/>
    <w:p w14:paraId="477544FF" w14:textId="78E4CC91" w:rsidR="00FB5C7A" w:rsidRDefault="00FB5C7A"/>
    <w:p w14:paraId="7C88C006" w14:textId="77777777" w:rsidR="00FB5C7A" w:rsidRDefault="00FB5C7A"/>
    <w:p w14:paraId="7A1B5F39" w14:textId="77777777" w:rsidR="00C94279" w:rsidRDefault="00C94279"/>
    <w:p w14:paraId="072109B8" w14:textId="77777777" w:rsidR="00C94279" w:rsidRPr="00647BDA" w:rsidRDefault="00C94279" w:rsidP="00C94279">
      <w:pPr>
        <w:rPr>
          <w:rFonts w:ascii="Times New Roman" w:eastAsia="Times New Roman" w:hAnsi="Times New Roman" w:cs="Times New Roman"/>
          <w:b/>
          <w:color w:val="333333"/>
          <w:sz w:val="24"/>
          <w:szCs w:val="24"/>
          <w:lang w:val="en-GB" w:eastAsia="en-GB"/>
        </w:rPr>
      </w:pPr>
      <w:proofErr w:type="gramStart"/>
      <w:r w:rsidRPr="00647BDA">
        <w:rPr>
          <w:rFonts w:ascii="Times New Roman" w:eastAsia="Times New Roman" w:hAnsi="Times New Roman" w:cs="Times New Roman"/>
          <w:b/>
          <w:color w:val="333333"/>
          <w:sz w:val="24"/>
          <w:szCs w:val="24"/>
          <w:lang w:val="en-GB" w:eastAsia="en-GB"/>
        </w:rPr>
        <w:lastRenderedPageBreak/>
        <w:t>1.Produktivita</w:t>
      </w:r>
      <w:proofErr w:type="gramEnd"/>
      <w:r w:rsidRPr="00647BDA">
        <w:rPr>
          <w:rFonts w:ascii="Times New Roman" w:eastAsia="Times New Roman" w:hAnsi="Times New Roman" w:cs="Times New Roman"/>
          <w:b/>
          <w:color w:val="333333"/>
          <w:sz w:val="24"/>
          <w:szCs w:val="24"/>
          <w:lang w:val="en-GB" w:eastAsia="en-GB"/>
        </w:rPr>
        <w:t xml:space="preserve"> a </w:t>
      </w:r>
      <w:proofErr w:type="spellStart"/>
      <w:r w:rsidRPr="00647BDA">
        <w:rPr>
          <w:rFonts w:ascii="Times New Roman" w:eastAsia="Times New Roman" w:hAnsi="Times New Roman" w:cs="Times New Roman"/>
          <w:b/>
          <w:color w:val="333333"/>
          <w:sz w:val="24"/>
          <w:szCs w:val="24"/>
          <w:lang w:val="en-GB" w:eastAsia="en-GB"/>
        </w:rPr>
        <w:t>zpracovatelský</w:t>
      </w:r>
      <w:proofErr w:type="spellEnd"/>
      <w:r w:rsidRPr="00647BDA">
        <w:rPr>
          <w:rFonts w:ascii="Times New Roman" w:eastAsia="Times New Roman" w:hAnsi="Times New Roman" w:cs="Times New Roman"/>
          <w:b/>
          <w:color w:val="333333"/>
          <w:sz w:val="24"/>
          <w:szCs w:val="24"/>
          <w:lang w:val="en-GB" w:eastAsia="en-GB"/>
        </w:rPr>
        <w:t xml:space="preserve"> sector v </w:t>
      </w:r>
      <w:proofErr w:type="spellStart"/>
      <w:r w:rsidRPr="00647BDA">
        <w:rPr>
          <w:rFonts w:ascii="Times New Roman" w:eastAsia="Times New Roman" w:hAnsi="Times New Roman" w:cs="Times New Roman"/>
          <w:b/>
          <w:color w:val="333333"/>
          <w:sz w:val="24"/>
          <w:szCs w:val="24"/>
          <w:lang w:val="en-GB" w:eastAsia="en-GB"/>
        </w:rPr>
        <w:t>zemích</w:t>
      </w:r>
      <w:proofErr w:type="spellEnd"/>
      <w:r w:rsidRPr="00647BDA">
        <w:rPr>
          <w:rFonts w:ascii="Times New Roman" w:eastAsia="Times New Roman" w:hAnsi="Times New Roman" w:cs="Times New Roman"/>
          <w:b/>
          <w:color w:val="333333"/>
          <w:sz w:val="24"/>
          <w:szCs w:val="24"/>
          <w:lang w:val="en-GB" w:eastAsia="en-GB"/>
        </w:rPr>
        <w:t xml:space="preserve"> V4  </w:t>
      </w:r>
    </w:p>
    <w:p w14:paraId="197E7CA3" w14:textId="0AECA844" w:rsidR="006F3BA6" w:rsidRDefault="006F3BA6" w:rsidP="003249BD">
      <w:pPr>
        <w:jc w:val="both"/>
      </w:pPr>
      <w:r>
        <w:t xml:space="preserve">Tato část práce je zaměřena na oblast zpracovatelského </w:t>
      </w:r>
      <w:r w:rsidR="000927C0">
        <w:t>průmyslu</w:t>
      </w:r>
      <w:r>
        <w:t xml:space="preserve"> v zemích </w:t>
      </w:r>
      <w:r w:rsidR="003578FA">
        <w:t>Visegrádské</w:t>
      </w:r>
      <w:r>
        <w:t xml:space="preserve"> skupiny (V4), konkrétně na jednotlivé oddíly tohoto sektoru. Cílem této části bude posoudit</w:t>
      </w:r>
      <w:r w:rsidR="000927C0">
        <w:t>,</w:t>
      </w:r>
      <w:r>
        <w:t xml:space="preserve"> do jaké míry dochází k</w:t>
      </w:r>
      <w:r w:rsidR="000927C0">
        <w:t xml:space="preserve"> dohánění </w:t>
      </w:r>
      <w:proofErr w:type="gramStart"/>
      <w:r w:rsidR="000927C0">
        <w:t>produktivity v německého průmyslu</w:t>
      </w:r>
      <w:r>
        <w:t>, kter</w:t>
      </w:r>
      <w:r w:rsidR="000927C0">
        <w:t>ý</w:t>
      </w:r>
      <w:proofErr w:type="gramEnd"/>
      <w:r>
        <w:t xml:space="preserve"> je hlavním motorem ekonomického růstu </w:t>
      </w:r>
      <w:r w:rsidR="000927C0">
        <w:t>s</w:t>
      </w:r>
      <w:r>
        <w:t xml:space="preserve">třední a </w:t>
      </w:r>
      <w:r w:rsidR="000927C0">
        <w:t>v</w:t>
      </w:r>
      <w:r>
        <w:t xml:space="preserve">ýchodní Evropy. </w:t>
      </w:r>
    </w:p>
    <w:p w14:paraId="248033D0" w14:textId="77777777" w:rsidR="00972812" w:rsidRPr="000063D8" w:rsidRDefault="00972812">
      <w:pPr>
        <w:rPr>
          <w:b/>
        </w:rPr>
      </w:pPr>
      <w:r w:rsidRPr="000063D8">
        <w:rPr>
          <w:b/>
        </w:rPr>
        <w:t xml:space="preserve">Význam </w:t>
      </w:r>
      <w:r w:rsidR="000063D8" w:rsidRPr="000063D8">
        <w:rPr>
          <w:b/>
        </w:rPr>
        <w:t>zpracovávatelského</w:t>
      </w:r>
      <w:r w:rsidRPr="000063D8">
        <w:rPr>
          <w:b/>
        </w:rPr>
        <w:t xml:space="preserve"> průmyslu v zemích EU  se zamřením na V4</w:t>
      </w:r>
    </w:p>
    <w:p w14:paraId="655067AF" w14:textId="7A5FE453" w:rsidR="00E5252D" w:rsidRDefault="00972812" w:rsidP="00E5252D">
      <w:pPr>
        <w:jc w:val="both"/>
      </w:pPr>
      <w:r>
        <w:t xml:space="preserve">Práce je změřena na </w:t>
      </w:r>
      <w:proofErr w:type="gramStart"/>
      <w:r>
        <w:t>zpracovatelský</w:t>
      </w:r>
      <w:proofErr w:type="gramEnd"/>
      <w:r>
        <w:t xml:space="preserve"> průmyslu, konkrétně na oddíl, který zahrnuje v</w:t>
      </w:r>
      <w:r w:rsidRPr="00972812">
        <w:t>ýrob</w:t>
      </w:r>
      <w:r>
        <w:t>u</w:t>
      </w:r>
      <w:r w:rsidRPr="00972812">
        <w:t xml:space="preserve"> strojů a zařízení</w:t>
      </w:r>
      <w:r>
        <w:t xml:space="preserve">, </w:t>
      </w:r>
      <w:r w:rsidRPr="00972812">
        <w:t>které mechanicky nebo tepelně působí na materiály nebo na materiálech provádějí výrobní procesy</w:t>
      </w:r>
      <w:r w:rsidR="003249BD">
        <w:t xml:space="preserve">.  </w:t>
      </w:r>
      <w:r>
        <w:t>Zpracovatelský průmysl hraje významnou roli ve většině ekonomik států EU. Tato role ovšem není identická, kdy závisí na struktuře konkrétních ekonomik a její vývoji v čase. Následující Graf č. X nám zobrazuje průměrný podíl zpracovatelského průmyslu  za posledních pět let v </w:t>
      </w:r>
      <w:r w:rsidR="003249BD">
        <w:t>jednotlivých</w:t>
      </w:r>
      <w:r w:rsidR="00FF7E07">
        <w:t xml:space="preserve"> e</w:t>
      </w:r>
      <w:r>
        <w:t xml:space="preserve">konomikách států EU. Průměrný podíl zemí EU (EU 28) se </w:t>
      </w:r>
      <w:r w:rsidR="000809B5">
        <w:t>po</w:t>
      </w:r>
      <w:r>
        <w:t xml:space="preserve">hybuje na úrovni 15,8 %.  Jsou zde státy s nízkým podílem  pod </w:t>
      </w:r>
      <w:proofErr w:type="gramStart"/>
      <w:r>
        <w:t>10 % jako</w:t>
      </w:r>
      <w:proofErr w:type="gramEnd"/>
      <w:r>
        <w:t xml:space="preserve"> je Řecko či Malta a naopak státy s vysokým podílem na 25 % jako je ČR či Irsko. </w:t>
      </w:r>
    </w:p>
    <w:p w14:paraId="58A69C75" w14:textId="181BFF0B" w:rsidR="00E97031" w:rsidRDefault="00972812" w:rsidP="00E5252D">
      <w:r>
        <w:t xml:space="preserve"> </w:t>
      </w:r>
      <w:r w:rsidR="000063D8">
        <w:t xml:space="preserve">Graf č. </w:t>
      </w:r>
      <w:r w:rsidR="00FF7E07">
        <w:t>X:</w:t>
      </w:r>
      <w:r w:rsidR="000063D8">
        <w:t xml:space="preserve"> </w:t>
      </w:r>
      <w:r w:rsidR="000063D8" w:rsidRPr="000063D8">
        <w:t xml:space="preserve">Průměrný podíl odvětví </w:t>
      </w:r>
      <w:r w:rsidR="00C94279" w:rsidRPr="000063D8">
        <w:t>zpracovatelského</w:t>
      </w:r>
      <w:r w:rsidR="000063D8" w:rsidRPr="000063D8">
        <w:t xml:space="preserve"> průmyslu na </w:t>
      </w:r>
      <w:r w:rsidR="000063D8">
        <w:t xml:space="preserve">hrubé </w:t>
      </w:r>
      <w:r w:rsidR="00C94279">
        <w:t>přidané</w:t>
      </w:r>
      <w:r w:rsidR="000063D8">
        <w:t xml:space="preserve"> hodnotě</w:t>
      </w:r>
      <w:r w:rsidR="000063D8" w:rsidRPr="000063D8">
        <w:t xml:space="preserve"> ve státech EU </w:t>
      </w:r>
      <w:r w:rsidR="003249BD">
        <w:t xml:space="preserve"> ve stálých cenách roku 2010 </w:t>
      </w:r>
      <w:r w:rsidR="000063D8" w:rsidRPr="000063D8">
        <w:t>(v %)</w:t>
      </w:r>
      <w:r w:rsidR="000063D8">
        <w:t xml:space="preserve"> za rok (2019 – 2015)</w:t>
      </w:r>
      <w:r w:rsidR="003249BD">
        <w:t xml:space="preserve"> </w:t>
      </w:r>
      <w:r w:rsidR="00581A14" w:rsidRPr="003249BD">
        <w:rPr>
          <w:noProof/>
          <w:color w:val="1F3864" w:themeColor="accent5" w:themeShade="80"/>
          <w:highlight w:val="red"/>
          <w:lang w:eastAsia="cs-CZ"/>
        </w:rPr>
        <w:drawing>
          <wp:inline distT="0" distB="0" distL="0" distR="0" wp14:anchorId="1575E80C" wp14:editId="4E753AEB">
            <wp:extent cx="5760720" cy="4876800"/>
            <wp:effectExtent l="0" t="0" r="1143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ACD2653" w14:textId="77777777" w:rsidR="000C08C6" w:rsidRDefault="000063D8">
      <w:r>
        <w:t xml:space="preserve">Zdroj: </w:t>
      </w:r>
      <w:proofErr w:type="spellStart"/>
      <w:r>
        <w:t>Eurostat</w:t>
      </w:r>
      <w:proofErr w:type="spellEnd"/>
      <w:r>
        <w:t xml:space="preserve"> – národní účty, vlastní zpracování</w:t>
      </w:r>
    </w:p>
    <w:p w14:paraId="7B43EE41" w14:textId="1E22F023" w:rsidR="000063D8" w:rsidRDefault="000063D8" w:rsidP="000063D8">
      <w:pPr>
        <w:jc w:val="both"/>
      </w:pPr>
      <w:r>
        <w:lastRenderedPageBreak/>
        <w:t>Jaký směrem se  význam zpracovatelského průmyslu z pohledu tvorby přida</w:t>
      </w:r>
      <w:r w:rsidR="003249BD">
        <w:t>né hodny jednotlivých ekonomik zobrazuje</w:t>
      </w:r>
      <w:r>
        <w:t xml:space="preserve"> následující tabulka č. X.  V převážné části států</w:t>
      </w:r>
      <w:r w:rsidR="003249BD">
        <w:t xml:space="preserve"> za sledované období</w:t>
      </w:r>
      <w:r>
        <w:t xml:space="preserve"> došlo k poklesu podílu zpracovatelského sektoru na výkonnosti ekonomiky měřenou hrubou přidanou hodnotou. Důvodem zde není pokles velikosti HPH za odvětví, ale naopak výrazný růstu HPH v jiných odvětví</w:t>
      </w:r>
      <w:r w:rsidR="00FF7E07">
        <w:t>ch než je zpracovatelský průmysl nejčastěji v oblasti služeb</w:t>
      </w:r>
      <w:r>
        <w:t>. K největšímu nárůstu</w:t>
      </w:r>
      <w:r w:rsidR="00FF7E07">
        <w:t xml:space="preserve"> podílu průmyslu na tvorbě přidané hodnoty  od roku 2004</w:t>
      </w:r>
      <w:r>
        <w:t xml:space="preserve"> došlo u nových </w:t>
      </w:r>
      <w:r w:rsidR="00FC1F31">
        <w:t xml:space="preserve">průmyslově zaměřených </w:t>
      </w:r>
      <w:r>
        <w:t>členských států EU</w:t>
      </w:r>
      <w:r w:rsidR="00FC1F31">
        <w:t>.</w:t>
      </w:r>
      <w:r>
        <w:t xml:space="preserve"> </w:t>
      </w:r>
    </w:p>
    <w:p w14:paraId="781824FA" w14:textId="127214A1" w:rsidR="000063D8" w:rsidRDefault="000063D8">
      <w:r>
        <w:t xml:space="preserve">Tabulka </w:t>
      </w:r>
      <w:proofErr w:type="gramStart"/>
      <w:r>
        <w:t>č. X : Vývoj</w:t>
      </w:r>
      <w:proofErr w:type="gramEnd"/>
      <w:r>
        <w:t xml:space="preserve"> podílu zpracovatelského průmyslu na výkonnosti celé ekonomiky</w:t>
      </w:r>
      <w:r w:rsidR="00C8692A">
        <w:t xml:space="preserve"> 2004 - 2018</w:t>
      </w:r>
    </w:p>
    <w:tbl>
      <w:tblPr>
        <w:tblStyle w:val="Tabulkasmkou4zvraznn1"/>
        <w:tblW w:w="9038" w:type="dxa"/>
        <w:tblLayout w:type="fixed"/>
        <w:tblLook w:val="04A0" w:firstRow="1" w:lastRow="0" w:firstColumn="1" w:lastColumn="0" w:noHBand="0" w:noVBand="1"/>
      </w:tblPr>
      <w:tblGrid>
        <w:gridCol w:w="3012"/>
        <w:gridCol w:w="3013"/>
        <w:gridCol w:w="3013"/>
      </w:tblGrid>
      <w:tr w:rsidR="006F4B64" w:rsidRPr="006F4B64" w14:paraId="34BBDA5C" w14:textId="77777777" w:rsidTr="00FF7E0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14F8447" w14:textId="77777777" w:rsidR="006F4B64" w:rsidRPr="006F4B64" w:rsidRDefault="000063D8" w:rsidP="000063D8">
            <w:pPr>
              <w:jc w:val="center"/>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P</w:t>
            </w:r>
            <w:r w:rsidR="006F4B64" w:rsidRPr="006F4B64">
              <w:rPr>
                <w:rFonts w:ascii="Calibri" w:eastAsia="Times New Roman" w:hAnsi="Calibri" w:cs="Calibri"/>
                <w:color w:val="000000"/>
                <w:lang w:val="en-GB" w:eastAsia="en-GB"/>
              </w:rPr>
              <w:t>okles</w:t>
            </w:r>
            <w:proofErr w:type="spellEnd"/>
            <w:r>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w:t>
            </w:r>
          </w:p>
        </w:tc>
        <w:tc>
          <w:tcPr>
            <w:tcW w:w="3013" w:type="dxa"/>
            <w:noWrap/>
            <w:hideMark/>
          </w:tcPr>
          <w:p w14:paraId="72928290" w14:textId="77777777" w:rsidR="006F4B64" w:rsidRPr="006F4B64" w:rsidRDefault="000063D8" w:rsidP="000063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R</w:t>
            </w:r>
            <w:r w:rsidR="006F4B64" w:rsidRPr="006F4B64">
              <w:rPr>
                <w:rFonts w:ascii="Calibri" w:eastAsia="Times New Roman" w:hAnsi="Calibri" w:cs="Calibri"/>
                <w:color w:val="000000"/>
                <w:lang w:val="en-GB" w:eastAsia="en-GB"/>
              </w:rPr>
              <w:t>ůst</w:t>
            </w:r>
            <w:proofErr w:type="spellEnd"/>
            <w:r w:rsidR="006F4B64" w:rsidRPr="006F4B64">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w:t>
            </w:r>
            <w:r w:rsidR="006F4B64" w:rsidRPr="006F4B64">
              <w:rPr>
                <w:rFonts w:ascii="Calibri" w:eastAsia="Times New Roman" w:hAnsi="Calibri" w:cs="Calibri"/>
                <w:color w:val="000000"/>
                <w:lang w:val="en-GB" w:eastAsia="en-GB"/>
              </w:rPr>
              <w:t>do 10%</w:t>
            </w:r>
          </w:p>
        </w:tc>
        <w:tc>
          <w:tcPr>
            <w:tcW w:w="3013" w:type="dxa"/>
            <w:noWrap/>
            <w:hideMark/>
          </w:tcPr>
          <w:p w14:paraId="79A7C84B" w14:textId="77777777" w:rsidR="006F4B64" w:rsidRPr="006F4B64" w:rsidRDefault="000063D8" w:rsidP="000063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R</w:t>
            </w:r>
            <w:r w:rsidR="006F4B64" w:rsidRPr="006F4B64">
              <w:rPr>
                <w:rFonts w:ascii="Calibri" w:eastAsia="Times New Roman" w:hAnsi="Calibri" w:cs="Calibri"/>
                <w:color w:val="000000"/>
                <w:lang w:val="en-GB" w:eastAsia="en-GB"/>
              </w:rPr>
              <w:t>ůst</w:t>
            </w:r>
            <w:proofErr w:type="spellEnd"/>
            <w:r w:rsidR="006F4B64" w:rsidRPr="006F4B64">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o </w:t>
            </w:r>
            <w:proofErr w:type="spellStart"/>
            <w:r w:rsidR="006F4B64" w:rsidRPr="006F4B64">
              <w:rPr>
                <w:rFonts w:ascii="Calibri" w:eastAsia="Times New Roman" w:hAnsi="Calibri" w:cs="Calibri"/>
                <w:color w:val="000000"/>
                <w:lang w:val="en-GB" w:eastAsia="en-GB"/>
              </w:rPr>
              <w:t>více</w:t>
            </w:r>
            <w:proofErr w:type="spellEnd"/>
            <w:r w:rsidR="006F4B64" w:rsidRPr="006F4B64">
              <w:rPr>
                <w:rFonts w:ascii="Calibri" w:eastAsia="Times New Roman" w:hAnsi="Calibri" w:cs="Calibri"/>
                <w:color w:val="000000"/>
                <w:lang w:val="en-GB" w:eastAsia="en-GB"/>
              </w:rPr>
              <w:t xml:space="preserve"> </w:t>
            </w:r>
            <w:proofErr w:type="spellStart"/>
            <w:r w:rsidR="006F4B64" w:rsidRPr="006F4B64">
              <w:rPr>
                <w:rFonts w:ascii="Calibri" w:eastAsia="Times New Roman" w:hAnsi="Calibri" w:cs="Calibri"/>
                <w:color w:val="000000"/>
                <w:lang w:val="en-GB" w:eastAsia="en-GB"/>
              </w:rPr>
              <w:t>než</w:t>
            </w:r>
            <w:proofErr w:type="spellEnd"/>
            <w:r w:rsidR="006F4B64" w:rsidRPr="006F4B64">
              <w:rPr>
                <w:rFonts w:ascii="Calibri" w:eastAsia="Times New Roman" w:hAnsi="Calibri" w:cs="Calibri"/>
                <w:color w:val="000000"/>
                <w:lang w:val="en-GB" w:eastAsia="en-GB"/>
              </w:rPr>
              <w:t xml:space="preserve"> 10 %</w:t>
            </w:r>
          </w:p>
        </w:tc>
      </w:tr>
      <w:tr w:rsidR="006F4B64" w:rsidRPr="006F4B64" w14:paraId="39958CFD"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52508EB"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Lucembursko</w:t>
            </w:r>
            <w:proofErr w:type="spellEnd"/>
          </w:p>
        </w:tc>
        <w:tc>
          <w:tcPr>
            <w:tcW w:w="3013" w:type="dxa"/>
            <w:noWrap/>
            <w:hideMark/>
          </w:tcPr>
          <w:p w14:paraId="38D3F1DE"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Finsko</w:t>
            </w:r>
            <w:proofErr w:type="spellEnd"/>
          </w:p>
        </w:tc>
        <w:tc>
          <w:tcPr>
            <w:tcW w:w="3013" w:type="dxa"/>
            <w:noWrap/>
            <w:hideMark/>
          </w:tcPr>
          <w:p w14:paraId="35F2AAF7"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Rumunsko</w:t>
            </w:r>
            <w:proofErr w:type="spellEnd"/>
          </w:p>
        </w:tc>
      </w:tr>
      <w:tr w:rsidR="006F4B64" w:rsidRPr="006F4B64" w14:paraId="561EAF62"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94E95C9"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Kypr</w:t>
            </w:r>
            <w:proofErr w:type="spellEnd"/>
          </w:p>
        </w:tc>
        <w:tc>
          <w:tcPr>
            <w:tcW w:w="3013" w:type="dxa"/>
            <w:noWrap/>
            <w:hideMark/>
          </w:tcPr>
          <w:p w14:paraId="16D50BA0"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Rakousko</w:t>
            </w:r>
            <w:proofErr w:type="spellEnd"/>
          </w:p>
        </w:tc>
        <w:tc>
          <w:tcPr>
            <w:tcW w:w="3013" w:type="dxa"/>
            <w:noWrap/>
            <w:hideMark/>
          </w:tcPr>
          <w:p w14:paraId="062BB72B"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Litva</w:t>
            </w:r>
            <w:proofErr w:type="spellEnd"/>
          </w:p>
        </w:tc>
      </w:tr>
      <w:tr w:rsidR="006F4B64" w:rsidRPr="006F4B64" w14:paraId="718D9140"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723B165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Španělsko</w:t>
            </w:r>
            <w:proofErr w:type="spellEnd"/>
          </w:p>
        </w:tc>
        <w:tc>
          <w:tcPr>
            <w:tcW w:w="3013" w:type="dxa"/>
            <w:noWrap/>
            <w:hideMark/>
          </w:tcPr>
          <w:p w14:paraId="5FD61732" w14:textId="77777777" w:rsidR="006F4B64" w:rsidRPr="00FF7E07"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FF7E07">
              <w:rPr>
                <w:rFonts w:ascii="Calibri" w:eastAsia="Times New Roman" w:hAnsi="Calibri" w:cs="Calibri"/>
                <w:b/>
                <w:color w:val="1F3864" w:themeColor="accent5" w:themeShade="80"/>
                <w:lang w:val="en-GB" w:eastAsia="en-GB"/>
              </w:rPr>
              <w:t>Německo</w:t>
            </w:r>
            <w:proofErr w:type="spellEnd"/>
          </w:p>
        </w:tc>
        <w:tc>
          <w:tcPr>
            <w:tcW w:w="3013" w:type="dxa"/>
            <w:noWrap/>
            <w:hideMark/>
          </w:tcPr>
          <w:p w14:paraId="3344CD87" w14:textId="77777777" w:rsidR="006F4B64" w:rsidRPr="00B840FB"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Česko</w:t>
            </w:r>
            <w:proofErr w:type="spellEnd"/>
          </w:p>
        </w:tc>
      </w:tr>
      <w:tr w:rsidR="006F4B64" w:rsidRPr="006F4B64" w14:paraId="3EC757B4"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F0A42F4" w14:textId="77777777" w:rsidR="006F4B64" w:rsidRPr="00FF7E07" w:rsidRDefault="006F4B64" w:rsidP="000063D8">
            <w:pPr>
              <w:jc w:val="center"/>
              <w:rPr>
                <w:rFonts w:ascii="Calibri" w:eastAsia="Times New Roman" w:hAnsi="Calibri" w:cs="Calibri"/>
                <w:b w:val="0"/>
                <w:color w:val="000000"/>
                <w:lang w:val="en-GB" w:eastAsia="en-GB"/>
              </w:rPr>
            </w:pPr>
            <w:r w:rsidRPr="00FF7E07">
              <w:rPr>
                <w:rFonts w:ascii="Calibri" w:eastAsia="Times New Roman" w:hAnsi="Calibri" w:cs="Calibri"/>
                <w:b w:val="0"/>
                <w:color w:val="000000"/>
                <w:lang w:val="en-GB" w:eastAsia="en-GB"/>
              </w:rPr>
              <w:t>Malta</w:t>
            </w:r>
          </w:p>
        </w:tc>
        <w:tc>
          <w:tcPr>
            <w:tcW w:w="3013" w:type="dxa"/>
            <w:noWrap/>
            <w:hideMark/>
          </w:tcPr>
          <w:p w14:paraId="27B76A7A"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Slovinsko</w:t>
            </w:r>
            <w:proofErr w:type="spellEnd"/>
          </w:p>
        </w:tc>
        <w:tc>
          <w:tcPr>
            <w:tcW w:w="3013" w:type="dxa"/>
            <w:noWrap/>
            <w:hideMark/>
          </w:tcPr>
          <w:p w14:paraId="427C8A02" w14:textId="77777777" w:rsidR="006F4B64" w:rsidRPr="00B840FB"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Polsko</w:t>
            </w:r>
            <w:proofErr w:type="spellEnd"/>
          </w:p>
        </w:tc>
      </w:tr>
      <w:tr w:rsidR="006F4B64" w:rsidRPr="006F4B64" w14:paraId="3CC2E014"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007C5A3A"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Velká</w:t>
            </w:r>
            <w:proofErr w:type="spellEnd"/>
            <w:r w:rsidRPr="00FF7E07">
              <w:rPr>
                <w:rFonts w:ascii="Calibri" w:eastAsia="Times New Roman" w:hAnsi="Calibri" w:cs="Calibri"/>
                <w:b w:val="0"/>
                <w:color w:val="000000"/>
                <w:lang w:val="en-GB" w:eastAsia="en-GB"/>
              </w:rPr>
              <w:t xml:space="preserve"> </w:t>
            </w:r>
            <w:proofErr w:type="spellStart"/>
            <w:r w:rsidRPr="00FF7E07">
              <w:rPr>
                <w:rFonts w:ascii="Calibri" w:eastAsia="Times New Roman" w:hAnsi="Calibri" w:cs="Calibri"/>
                <w:b w:val="0"/>
                <w:color w:val="000000"/>
                <w:lang w:val="en-GB" w:eastAsia="en-GB"/>
              </w:rPr>
              <w:t>Británie</w:t>
            </w:r>
            <w:proofErr w:type="spellEnd"/>
          </w:p>
        </w:tc>
        <w:tc>
          <w:tcPr>
            <w:tcW w:w="3013" w:type="dxa"/>
            <w:noWrap/>
            <w:hideMark/>
          </w:tcPr>
          <w:p w14:paraId="3D9E21A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Estonsko</w:t>
            </w:r>
            <w:proofErr w:type="spellEnd"/>
          </w:p>
        </w:tc>
        <w:tc>
          <w:tcPr>
            <w:tcW w:w="3013" w:type="dxa"/>
            <w:noWrap/>
            <w:hideMark/>
          </w:tcPr>
          <w:p w14:paraId="767D3764" w14:textId="77777777" w:rsidR="006F4B64" w:rsidRPr="00B840FB"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Slovensko</w:t>
            </w:r>
            <w:proofErr w:type="spellEnd"/>
          </w:p>
        </w:tc>
      </w:tr>
      <w:tr w:rsidR="006F4B64" w:rsidRPr="006F4B64" w14:paraId="0E096AB8"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B1B36B6"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Řecko</w:t>
            </w:r>
            <w:proofErr w:type="spellEnd"/>
          </w:p>
        </w:tc>
        <w:tc>
          <w:tcPr>
            <w:tcW w:w="3013" w:type="dxa"/>
            <w:noWrap/>
            <w:hideMark/>
          </w:tcPr>
          <w:p w14:paraId="7E0E969E" w14:textId="12A97561" w:rsidR="006F4B64" w:rsidRPr="00B840FB" w:rsidRDefault="006F4B64" w:rsidP="00FF7E0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Maďarsko</w:t>
            </w:r>
            <w:proofErr w:type="spellEnd"/>
            <w:r w:rsidR="00FF7E07">
              <w:rPr>
                <w:rFonts w:ascii="Calibri" w:eastAsia="Times New Roman" w:hAnsi="Calibri" w:cs="Calibri"/>
                <w:b/>
                <w:color w:val="000000"/>
                <w:lang w:val="en-GB" w:eastAsia="en-GB"/>
              </w:rPr>
              <w:t xml:space="preserve">  </w:t>
            </w:r>
          </w:p>
        </w:tc>
        <w:tc>
          <w:tcPr>
            <w:tcW w:w="3013" w:type="dxa"/>
            <w:noWrap/>
            <w:hideMark/>
          </w:tcPr>
          <w:p w14:paraId="10B51593"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EF66B73"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A4FBEC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Chorvatsko</w:t>
            </w:r>
            <w:proofErr w:type="spellEnd"/>
          </w:p>
        </w:tc>
        <w:tc>
          <w:tcPr>
            <w:tcW w:w="3013" w:type="dxa"/>
            <w:noWrap/>
            <w:hideMark/>
          </w:tcPr>
          <w:p w14:paraId="0057B3E4"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3F9CD725"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8C247D5"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E850E2B"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Lotyšsko</w:t>
            </w:r>
            <w:proofErr w:type="spellEnd"/>
          </w:p>
        </w:tc>
        <w:tc>
          <w:tcPr>
            <w:tcW w:w="3013" w:type="dxa"/>
            <w:noWrap/>
            <w:hideMark/>
          </w:tcPr>
          <w:p w14:paraId="617D56F8"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07E4FA6"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6B365725"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04A7685"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Dánsko</w:t>
            </w:r>
            <w:proofErr w:type="spellEnd"/>
          </w:p>
        </w:tc>
        <w:tc>
          <w:tcPr>
            <w:tcW w:w="3013" w:type="dxa"/>
            <w:noWrap/>
            <w:hideMark/>
          </w:tcPr>
          <w:p w14:paraId="03B19261"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4E494058"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48E9961"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EBA04DA"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Portugalsko</w:t>
            </w:r>
            <w:proofErr w:type="spellEnd"/>
          </w:p>
        </w:tc>
        <w:tc>
          <w:tcPr>
            <w:tcW w:w="3013" w:type="dxa"/>
            <w:noWrap/>
            <w:hideMark/>
          </w:tcPr>
          <w:p w14:paraId="6158F3F0"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C9328B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54049F9F"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0D9ED2F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Belgie</w:t>
            </w:r>
            <w:proofErr w:type="spellEnd"/>
          </w:p>
        </w:tc>
        <w:tc>
          <w:tcPr>
            <w:tcW w:w="3013" w:type="dxa"/>
            <w:noWrap/>
            <w:hideMark/>
          </w:tcPr>
          <w:p w14:paraId="211108F5"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59158B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1395643"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06C735F"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Itálie</w:t>
            </w:r>
            <w:proofErr w:type="spellEnd"/>
          </w:p>
        </w:tc>
        <w:tc>
          <w:tcPr>
            <w:tcW w:w="3013" w:type="dxa"/>
            <w:noWrap/>
            <w:hideMark/>
          </w:tcPr>
          <w:p w14:paraId="6B92F0D4"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7F2DF5B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4A66ED22"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2FAF12E5"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Irsko</w:t>
            </w:r>
            <w:proofErr w:type="spellEnd"/>
          </w:p>
        </w:tc>
        <w:tc>
          <w:tcPr>
            <w:tcW w:w="3013" w:type="dxa"/>
            <w:noWrap/>
            <w:hideMark/>
          </w:tcPr>
          <w:p w14:paraId="6A74AAC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18C7F74C"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35C60DD"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69A418FA" w14:textId="77777777" w:rsidR="006F4B64" w:rsidRPr="00FF7E07" w:rsidRDefault="006F4B64" w:rsidP="000063D8">
            <w:pPr>
              <w:jc w:val="center"/>
              <w:rPr>
                <w:rFonts w:ascii="Calibri" w:eastAsia="Times New Roman" w:hAnsi="Calibri" w:cs="Calibri"/>
                <w:b w:val="0"/>
                <w:color w:val="000000"/>
                <w:lang w:val="en-GB" w:eastAsia="en-GB"/>
              </w:rPr>
            </w:pPr>
            <w:r w:rsidRPr="00FF7E07">
              <w:rPr>
                <w:rFonts w:ascii="Calibri" w:eastAsia="Times New Roman" w:hAnsi="Calibri" w:cs="Calibri"/>
                <w:b w:val="0"/>
                <w:color w:val="000000"/>
                <w:lang w:val="en-GB" w:eastAsia="en-GB"/>
              </w:rPr>
              <w:t>Francie</w:t>
            </w:r>
          </w:p>
        </w:tc>
        <w:tc>
          <w:tcPr>
            <w:tcW w:w="3013" w:type="dxa"/>
            <w:noWrap/>
            <w:hideMark/>
          </w:tcPr>
          <w:p w14:paraId="575F10A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750F9F3A"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6E3EB2A"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9FCF499"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Švédsko</w:t>
            </w:r>
            <w:proofErr w:type="spellEnd"/>
          </w:p>
        </w:tc>
        <w:tc>
          <w:tcPr>
            <w:tcW w:w="3013" w:type="dxa"/>
            <w:noWrap/>
            <w:hideMark/>
          </w:tcPr>
          <w:p w14:paraId="3840643B"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1951EC5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38B936F7"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20C1A13F"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Bulharsko</w:t>
            </w:r>
            <w:proofErr w:type="spellEnd"/>
          </w:p>
        </w:tc>
        <w:tc>
          <w:tcPr>
            <w:tcW w:w="3013" w:type="dxa"/>
            <w:noWrap/>
            <w:hideMark/>
          </w:tcPr>
          <w:p w14:paraId="3F53B272"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08F1A0F9"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5DE57DB1"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47E78A6"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Nizozemsko</w:t>
            </w:r>
            <w:proofErr w:type="spellEnd"/>
          </w:p>
        </w:tc>
        <w:tc>
          <w:tcPr>
            <w:tcW w:w="3013" w:type="dxa"/>
            <w:noWrap/>
            <w:hideMark/>
          </w:tcPr>
          <w:p w14:paraId="72E746C0"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D923AC6"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bl>
    <w:p w14:paraId="4813DF3E" w14:textId="77777777" w:rsidR="000C08C6" w:rsidRDefault="000C08C6"/>
    <w:p w14:paraId="3D683599" w14:textId="430FC13E" w:rsidR="00FC1F31" w:rsidRDefault="00FC1F31" w:rsidP="005B7F0F">
      <w:pPr>
        <w:jc w:val="both"/>
      </w:pPr>
      <w:r>
        <w:t>Druhý</w:t>
      </w:r>
      <w:r w:rsidR="00FF7E07">
        <w:t>m</w:t>
      </w:r>
      <w:r>
        <w:t xml:space="preserve"> ukazatel</w:t>
      </w:r>
      <w:r w:rsidR="00FF7E07">
        <w:t>em</w:t>
      </w:r>
      <w:r>
        <w:t xml:space="preserve"> zobrazujících význam </w:t>
      </w:r>
      <w:r w:rsidR="00BA5D22">
        <w:t xml:space="preserve">tohoto odvětví je podíl </w:t>
      </w:r>
      <w:r w:rsidR="00FF7E07">
        <w:t xml:space="preserve">průmyslu </w:t>
      </w:r>
      <w:r w:rsidR="00BA5D22">
        <w:t xml:space="preserve">na zaměstnanosti v celé ekonomice viz graf č. X, kdy jde o průměr za pět </w:t>
      </w:r>
      <w:r w:rsidR="003249BD">
        <w:t xml:space="preserve">let </w:t>
      </w:r>
      <w:r w:rsidR="00BA5D22">
        <w:t xml:space="preserve">(2015 – 2019).  U tohoto ukazatele </w:t>
      </w:r>
      <w:r w:rsidR="00FF7E07">
        <w:t>lze</w:t>
      </w:r>
      <w:r w:rsidR="00BA5D22">
        <w:t xml:space="preserve"> vidět vysoký podíl zejména u nově přistupujících států</w:t>
      </w:r>
      <w:r w:rsidR="00FF7E07">
        <w:t xml:space="preserve"> postkomunistických států</w:t>
      </w:r>
      <w:r w:rsidR="00BA5D22">
        <w:t xml:space="preserve">. Největších hodnot dosahuje Česká republika a Slovensko, kde to hodnota přesahuje hodnotu 20 %. Vysoká velikost </w:t>
      </w:r>
      <w:r w:rsidR="003249BD">
        <w:t xml:space="preserve"> této hodnoty </w:t>
      </w:r>
      <w:r w:rsidR="00BA5D22">
        <w:t>v postkomunistických státech je ovlivněna nejen strukturou</w:t>
      </w:r>
      <w:r w:rsidR="00FF7E07">
        <w:t xml:space="preserve"> ekonomiky zaměřené na průmyslovou produkci</w:t>
      </w:r>
      <w:r w:rsidR="00BA5D22">
        <w:t xml:space="preserve">, tak i produkční účinnosti využívaných zdrojů, která  bude popsána v následující kapitole.  </w:t>
      </w:r>
    </w:p>
    <w:p w14:paraId="4D720BCE" w14:textId="02622995" w:rsidR="00FF7E07" w:rsidRDefault="00FF7E07"/>
    <w:p w14:paraId="0AE1F54D" w14:textId="198C38FC" w:rsidR="00FF7E07" w:rsidRDefault="00FF7E07"/>
    <w:p w14:paraId="3372D3E2" w14:textId="57376678" w:rsidR="00FF7E07" w:rsidRDefault="00FF7E07"/>
    <w:p w14:paraId="0362F83B" w14:textId="06D99726" w:rsidR="00FF7E07" w:rsidRDefault="00FF7E07"/>
    <w:p w14:paraId="64884A9E" w14:textId="5BA389FB" w:rsidR="00FF7E07" w:rsidRDefault="00FF7E07"/>
    <w:p w14:paraId="2BF14251" w14:textId="6189F8FD" w:rsidR="00FF7E07" w:rsidRDefault="00FF7E07"/>
    <w:p w14:paraId="0521DA68" w14:textId="7EC468BF" w:rsidR="00FF7E07" w:rsidRDefault="00FF7E07"/>
    <w:p w14:paraId="4FF36497" w14:textId="77777777" w:rsidR="00FF7E07" w:rsidRDefault="00FF7E07"/>
    <w:p w14:paraId="024B3A3E" w14:textId="4CF0D040" w:rsidR="00BA5D22" w:rsidRDefault="00BA5D22">
      <w:r>
        <w:lastRenderedPageBreak/>
        <w:t xml:space="preserve">Graf č. X: </w:t>
      </w:r>
      <w:r w:rsidRPr="00BA5D22">
        <w:t>Podíl zpracovatelského průmyslu na zaměstnanosti</w:t>
      </w:r>
      <w:r>
        <w:t xml:space="preserve"> v zemích EU  </w:t>
      </w:r>
      <w:r w:rsidRPr="00BA5D22">
        <w:t xml:space="preserve"> </w:t>
      </w:r>
      <w:r>
        <w:t>(</w:t>
      </w:r>
      <w:r w:rsidRPr="00BA5D22">
        <w:t>v %</w:t>
      </w:r>
      <w:r>
        <w:t xml:space="preserve">)  </w:t>
      </w:r>
    </w:p>
    <w:p w14:paraId="1B060D3B" w14:textId="77777777" w:rsidR="000C08C6" w:rsidRDefault="000C08C6">
      <w:r w:rsidRPr="00E5252D">
        <w:rPr>
          <w:noProof/>
          <w:lang w:eastAsia="cs-CZ"/>
        </w:rPr>
        <w:drawing>
          <wp:inline distT="0" distB="0" distL="0" distR="0" wp14:anchorId="139674E2" wp14:editId="42D7CB8D">
            <wp:extent cx="6134100" cy="3114675"/>
            <wp:effectExtent l="0" t="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D7060C" w14:textId="7101B480" w:rsidR="00FF7E07" w:rsidRDefault="00574E7D" w:rsidP="007F1F13">
      <w:pPr>
        <w:jc w:val="both"/>
        <w:rPr>
          <w:b/>
        </w:rPr>
      </w:pPr>
      <w:r>
        <w:t xml:space="preserve">Zpracovatelský průmysl patří v zemích V4 má  oproti Německu vyšší podíl na zaměstnanosti, ale současně, nižší podíl na tvorbě přidané hodnoty oproti Maďarsku a Slovensku. </w:t>
      </w:r>
      <w:r w:rsidR="007F1F13">
        <w:t xml:space="preserve">Je nutné upozornit, že uvedené údaje jsou ve stálých cenách roku 2010 a není zde zohledňován vliv parity kupní síly. </w:t>
      </w:r>
      <w:r>
        <w:t xml:space="preserve">  </w:t>
      </w:r>
    </w:p>
    <w:p w14:paraId="249A8481" w14:textId="77777777" w:rsidR="00574E7D" w:rsidRDefault="00574E7D" w:rsidP="003249BD">
      <w:pPr>
        <w:rPr>
          <w:b/>
        </w:rPr>
      </w:pPr>
    </w:p>
    <w:p w14:paraId="0739E5ED" w14:textId="0BE6ECD9" w:rsidR="003249BD" w:rsidRPr="003249BD" w:rsidRDefault="003249BD" w:rsidP="003249BD">
      <w:pPr>
        <w:rPr>
          <w:b/>
        </w:rPr>
      </w:pPr>
      <w:r w:rsidRPr="003249BD">
        <w:rPr>
          <w:b/>
        </w:rPr>
        <w:t>Zpracovatelský průmysl v zemích V4</w:t>
      </w:r>
      <w:r w:rsidR="00644712">
        <w:rPr>
          <w:b/>
        </w:rPr>
        <w:t xml:space="preserve"> a Německu</w:t>
      </w:r>
    </w:p>
    <w:p w14:paraId="69E93A7A" w14:textId="2A1A9AF4" w:rsidR="00D92761" w:rsidRDefault="00D92761" w:rsidP="00D92761">
      <w:pPr>
        <w:jc w:val="both"/>
      </w:pPr>
      <w:r>
        <w:t xml:space="preserve"> Zpracovatelský průmysl patří ve vyspělých</w:t>
      </w:r>
      <w:r w:rsidR="00574E7D">
        <w:t xml:space="preserve"> evropských </w:t>
      </w:r>
      <w:r>
        <w:t>ekonomikách</w:t>
      </w:r>
      <w:r w:rsidR="00574E7D">
        <w:t>, kam již dnes ekonomiky zemí V4 patří,</w:t>
      </w:r>
      <w:r>
        <w:t xml:space="preserve"> k rozhodujícím zdrojům </w:t>
      </w:r>
      <w:r w:rsidR="00574E7D">
        <w:t>pro tvorbu</w:t>
      </w:r>
      <w:r>
        <w:t xml:space="preserve"> hrubého domácího produktu. Následující tabulka č. X. zobrazuje vývoj podílu průmyslu na výkonosti  ekonomik</w:t>
      </w:r>
      <w:r w:rsidR="00574E7D">
        <w:t xml:space="preserve"> jako celku</w:t>
      </w:r>
      <w:r>
        <w:t xml:space="preserve">. Největší podíl má průmysl na </w:t>
      </w:r>
      <w:r w:rsidR="004B1C70">
        <w:t>zaměstnanosti</w:t>
      </w:r>
      <w:r>
        <w:t xml:space="preserve"> a </w:t>
      </w:r>
      <w:r w:rsidR="004B1C70">
        <w:t>přidané</w:t>
      </w:r>
      <w:r>
        <w:t xml:space="preserve"> hodnotě v České republice a Slovensku.  U těchto ekonomik také došlo v průběhu posledních 15 </w:t>
      </w:r>
      <w:proofErr w:type="gramStart"/>
      <w:r>
        <w:t>letech</w:t>
      </w:r>
      <w:proofErr w:type="gramEnd"/>
      <w:r>
        <w:t xml:space="preserve"> k nejvyššímu procentní nárůst podílu př</w:t>
      </w:r>
      <w:r w:rsidR="00574E7D">
        <w:t>idané hodnoty  a to o více než 8</w:t>
      </w:r>
      <w:r>
        <w:t xml:space="preserve"> % za celé sledované období. </w:t>
      </w:r>
      <w:r w:rsidR="0072770B">
        <w:t xml:space="preserve">Pro </w:t>
      </w:r>
      <w:r w:rsidR="004B1C70">
        <w:t>srovnání</w:t>
      </w:r>
      <w:r w:rsidR="0072770B">
        <w:t xml:space="preserve"> jsou zde uvedeny údaje i za průměr EU 28 a za Německo, které je pro země V4 největším obchodním partnerem v </w:t>
      </w:r>
      <w:r w:rsidR="00574E7D">
        <w:t>zahraničním</w:t>
      </w:r>
      <w:r w:rsidR="0072770B">
        <w:t xml:space="preserve"> obchodě v rámci zemí EU.  U všech zemí V4 vyjma Maďarska se od roku 2004 výrazně výšil význam</w:t>
      </w:r>
      <w:r w:rsidR="004B1C70">
        <w:t xml:space="preserve"> zpracovatelského průmyslu na </w:t>
      </w:r>
      <w:r w:rsidR="0072770B">
        <w:t xml:space="preserve"> tvorbě </w:t>
      </w:r>
      <w:r w:rsidR="004B1C70">
        <w:t>přidané</w:t>
      </w:r>
      <w:r w:rsidR="0072770B">
        <w:t xml:space="preserve"> hodnoty avšak z pohledu zaměstnanost se význam zpracovatelského průmyslu výrazně nezměnil. Došlo tedy</w:t>
      </w:r>
      <w:r w:rsidR="004B1C70">
        <w:t xml:space="preserve"> k výraznému </w:t>
      </w:r>
      <w:r w:rsidR="0072770B">
        <w:t>růst</w:t>
      </w:r>
      <w:r w:rsidR="004B1C70">
        <w:t>u produkční schopnosti sledovaných</w:t>
      </w:r>
      <w:r w:rsidR="0072770B">
        <w:t xml:space="preserve"> ekonomik</w:t>
      </w:r>
      <w:r w:rsidR="004B1C70">
        <w:t xml:space="preserve">, </w:t>
      </w:r>
      <w:r w:rsidR="0072770B">
        <w:t xml:space="preserve"> avšak při stejnému podílu na zaměstnanosti. Důvodem </w:t>
      </w:r>
      <w:r w:rsidR="00690846">
        <w:t>jsou především intenzivní zdroje růstu,</w:t>
      </w:r>
      <w:r w:rsidR="004B1C70">
        <w:t xml:space="preserve"> které mají za následek efektivnější využívání výrobních faktorů </w:t>
      </w:r>
    </w:p>
    <w:p w14:paraId="337547B7" w14:textId="44350B09" w:rsidR="006E6C67" w:rsidRDefault="004B1C70" w:rsidP="00D92761">
      <w:pPr>
        <w:jc w:val="both"/>
      </w:pPr>
      <w:r>
        <w:t>Tabulka č. X: Podíl průmyslu zemí V4 na tvorbě přidané hodnoty (GVA) a zaměstnanosti</w:t>
      </w:r>
      <w:r w:rsidR="006E6C67">
        <w:fldChar w:fldCharType="begin"/>
      </w:r>
      <w:r w:rsidR="006E6C67">
        <w:instrText xml:space="preserve"> LINK </w:instrText>
      </w:r>
      <w:r w:rsidR="000927C0">
        <w:instrText xml:space="preserve">Excel.Sheet.12 "F:\\DOKUMENTY\\ AAA  HABILITACNI PRACE\\data\\Data pro statistiku Makro Volek  NACE 28 2004 - 2019.xlsx" List2!R5C3:R12C11 </w:instrText>
      </w:r>
      <w:r w:rsidR="006E6C67">
        <w:instrText xml:space="preserve">\a \f 4 \h </w:instrText>
      </w:r>
      <w:r w:rsidR="0072770B">
        <w:instrText xml:space="preserve"> \* MERGEFORMAT </w:instrText>
      </w:r>
      <w:r w:rsidR="006E6C67">
        <w:fldChar w:fldCharType="separate"/>
      </w:r>
    </w:p>
    <w:tbl>
      <w:tblPr>
        <w:tblStyle w:val="Tabulkasmkou4zvraznn5"/>
        <w:tblW w:w="9444" w:type="dxa"/>
        <w:tblLook w:val="04A0" w:firstRow="1" w:lastRow="0" w:firstColumn="1" w:lastColumn="0" w:noHBand="0" w:noVBand="1"/>
      </w:tblPr>
      <w:tblGrid>
        <w:gridCol w:w="1274"/>
        <w:gridCol w:w="1018"/>
        <w:gridCol w:w="1018"/>
        <w:gridCol w:w="1018"/>
        <w:gridCol w:w="1020"/>
        <w:gridCol w:w="1024"/>
        <w:gridCol w:w="1024"/>
        <w:gridCol w:w="1024"/>
        <w:gridCol w:w="1024"/>
      </w:tblGrid>
      <w:tr w:rsidR="006E6C67" w:rsidRPr="006E6C67" w14:paraId="7E9BF67A" w14:textId="77777777" w:rsidTr="004B1C7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vMerge w:val="restart"/>
            <w:noWrap/>
            <w:hideMark/>
          </w:tcPr>
          <w:p w14:paraId="354D18D0" w14:textId="77777777" w:rsidR="006E6C67" w:rsidRPr="006E6C67" w:rsidRDefault="006E6C67" w:rsidP="006E6C67">
            <w:pPr>
              <w:jc w:val="center"/>
              <w:rPr>
                <w:rFonts w:ascii="Calibri" w:eastAsia="Times New Roman" w:hAnsi="Calibri" w:cs="Calibri"/>
                <w:color w:val="000000"/>
                <w:lang w:val="en-GB" w:eastAsia="en-GB"/>
              </w:rPr>
            </w:pPr>
            <w:proofErr w:type="spellStart"/>
            <w:r w:rsidRPr="006E6C67">
              <w:rPr>
                <w:rFonts w:ascii="Calibri" w:eastAsia="Times New Roman" w:hAnsi="Calibri" w:cs="Calibri"/>
                <w:color w:val="000000"/>
                <w:lang w:val="en-GB" w:eastAsia="en-GB"/>
              </w:rPr>
              <w:t>Země</w:t>
            </w:r>
            <w:proofErr w:type="spellEnd"/>
            <w:r w:rsidRPr="006E6C67">
              <w:rPr>
                <w:rFonts w:ascii="Calibri" w:eastAsia="Times New Roman" w:hAnsi="Calibri" w:cs="Calibri"/>
                <w:color w:val="000000"/>
                <w:lang w:val="en-GB" w:eastAsia="en-GB"/>
              </w:rPr>
              <w:t xml:space="preserve"> </w:t>
            </w:r>
          </w:p>
        </w:tc>
        <w:tc>
          <w:tcPr>
            <w:tcW w:w="4074" w:type="dxa"/>
            <w:gridSpan w:val="4"/>
            <w:noWrap/>
            <w:hideMark/>
          </w:tcPr>
          <w:p w14:paraId="69BDBB87" w14:textId="77777777" w:rsidR="006E6C67" w:rsidRPr="006E6C67" w:rsidRDefault="004B1C70" w:rsidP="006E6C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P</w:t>
            </w:r>
            <w:r w:rsidR="006E6C67" w:rsidRPr="006E6C67">
              <w:rPr>
                <w:rFonts w:ascii="Calibri" w:eastAsia="Times New Roman" w:hAnsi="Calibri" w:cs="Calibri"/>
                <w:color w:val="000000"/>
                <w:lang w:val="en-GB" w:eastAsia="en-GB"/>
              </w:rPr>
              <w:t>odíl</w:t>
            </w:r>
            <w:proofErr w:type="spellEnd"/>
            <w:r w:rsidR="006E6C67" w:rsidRPr="006E6C67">
              <w:rPr>
                <w:rFonts w:ascii="Calibri" w:eastAsia="Times New Roman" w:hAnsi="Calibri" w:cs="Calibri"/>
                <w:color w:val="000000"/>
                <w:lang w:val="en-GB" w:eastAsia="en-GB"/>
              </w:rPr>
              <w:t xml:space="preserve"> </w:t>
            </w:r>
            <w:proofErr w:type="spellStart"/>
            <w:r w:rsidR="006E6C67" w:rsidRPr="006E6C67">
              <w:rPr>
                <w:rFonts w:ascii="Calibri" w:eastAsia="Times New Roman" w:hAnsi="Calibri" w:cs="Calibri"/>
                <w:color w:val="000000"/>
                <w:lang w:val="en-GB" w:eastAsia="en-GB"/>
              </w:rPr>
              <w:t>na</w:t>
            </w:r>
            <w:proofErr w:type="spellEnd"/>
            <w:r w:rsidR="006E6C67" w:rsidRPr="006E6C67">
              <w:rPr>
                <w:rFonts w:ascii="Calibri" w:eastAsia="Times New Roman" w:hAnsi="Calibri" w:cs="Calibri"/>
                <w:color w:val="000000"/>
                <w:lang w:val="en-GB" w:eastAsia="en-GB"/>
              </w:rPr>
              <w:t xml:space="preserve"> GVA v %</w:t>
            </w:r>
          </w:p>
        </w:tc>
        <w:tc>
          <w:tcPr>
            <w:tcW w:w="4096" w:type="dxa"/>
            <w:gridSpan w:val="4"/>
            <w:noWrap/>
            <w:hideMark/>
          </w:tcPr>
          <w:p w14:paraId="2ED00D53" w14:textId="77777777" w:rsidR="006E6C67" w:rsidRPr="006E6C67" w:rsidRDefault="006E6C67" w:rsidP="006E6C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E6C67">
              <w:rPr>
                <w:rFonts w:ascii="Calibri" w:eastAsia="Times New Roman" w:hAnsi="Calibri" w:cs="Calibri"/>
                <w:color w:val="000000"/>
                <w:lang w:val="en-GB" w:eastAsia="en-GB"/>
              </w:rPr>
              <w:t>Podíl</w:t>
            </w:r>
            <w:proofErr w:type="spellEnd"/>
            <w:r w:rsidRPr="006E6C67">
              <w:rPr>
                <w:rFonts w:ascii="Calibri" w:eastAsia="Times New Roman" w:hAnsi="Calibri" w:cs="Calibri"/>
                <w:color w:val="000000"/>
                <w:lang w:val="en-GB" w:eastAsia="en-GB"/>
              </w:rPr>
              <w:t xml:space="preserve"> </w:t>
            </w:r>
            <w:proofErr w:type="spellStart"/>
            <w:r w:rsidRPr="006E6C67">
              <w:rPr>
                <w:rFonts w:ascii="Calibri" w:eastAsia="Times New Roman" w:hAnsi="Calibri" w:cs="Calibri"/>
                <w:color w:val="000000"/>
                <w:lang w:val="en-GB" w:eastAsia="en-GB"/>
              </w:rPr>
              <w:t>na</w:t>
            </w:r>
            <w:proofErr w:type="spellEnd"/>
            <w:r w:rsidRPr="006E6C67">
              <w:rPr>
                <w:rFonts w:ascii="Calibri" w:eastAsia="Times New Roman" w:hAnsi="Calibri" w:cs="Calibri"/>
                <w:color w:val="000000"/>
                <w:lang w:val="en-GB" w:eastAsia="en-GB"/>
              </w:rPr>
              <w:t xml:space="preserve"> </w:t>
            </w:r>
            <w:proofErr w:type="spellStart"/>
            <w:r w:rsidRPr="006E6C67">
              <w:rPr>
                <w:rFonts w:ascii="Calibri" w:eastAsia="Times New Roman" w:hAnsi="Calibri" w:cs="Calibri"/>
                <w:color w:val="000000"/>
                <w:lang w:val="en-GB" w:eastAsia="en-GB"/>
              </w:rPr>
              <w:t>zaměstnanosti</w:t>
            </w:r>
            <w:proofErr w:type="spellEnd"/>
            <w:r w:rsidRPr="006E6C67">
              <w:rPr>
                <w:rFonts w:ascii="Calibri" w:eastAsia="Times New Roman" w:hAnsi="Calibri" w:cs="Calibri"/>
                <w:color w:val="000000"/>
                <w:lang w:val="en-GB" w:eastAsia="en-GB"/>
              </w:rPr>
              <w:t xml:space="preserve"> v %</w:t>
            </w:r>
          </w:p>
        </w:tc>
      </w:tr>
      <w:tr w:rsidR="006E6C67" w:rsidRPr="006E6C67" w14:paraId="31B82EE2"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vMerge/>
            <w:hideMark/>
          </w:tcPr>
          <w:p w14:paraId="404B918B" w14:textId="77777777" w:rsidR="006E6C67" w:rsidRPr="006E6C67" w:rsidRDefault="006E6C67" w:rsidP="006E6C67">
            <w:pPr>
              <w:rPr>
                <w:rFonts w:ascii="Calibri" w:eastAsia="Times New Roman" w:hAnsi="Calibri" w:cs="Calibri"/>
                <w:color w:val="000000"/>
                <w:lang w:val="en-GB" w:eastAsia="en-GB"/>
              </w:rPr>
            </w:pPr>
          </w:p>
        </w:tc>
        <w:tc>
          <w:tcPr>
            <w:tcW w:w="1018" w:type="dxa"/>
            <w:noWrap/>
            <w:hideMark/>
          </w:tcPr>
          <w:p w14:paraId="2E1B58A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2004</w:t>
            </w:r>
          </w:p>
        </w:tc>
        <w:tc>
          <w:tcPr>
            <w:tcW w:w="1018" w:type="dxa"/>
            <w:noWrap/>
            <w:hideMark/>
          </w:tcPr>
          <w:p w14:paraId="6A24489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2009</w:t>
            </w:r>
          </w:p>
        </w:tc>
        <w:tc>
          <w:tcPr>
            <w:tcW w:w="1018" w:type="dxa"/>
            <w:noWrap/>
            <w:hideMark/>
          </w:tcPr>
          <w:p w14:paraId="0D00DD56"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2014</w:t>
            </w:r>
          </w:p>
        </w:tc>
        <w:tc>
          <w:tcPr>
            <w:tcW w:w="1018" w:type="dxa"/>
            <w:noWrap/>
            <w:hideMark/>
          </w:tcPr>
          <w:p w14:paraId="7537ECFA"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2019</w:t>
            </w:r>
          </w:p>
        </w:tc>
        <w:tc>
          <w:tcPr>
            <w:tcW w:w="1024" w:type="dxa"/>
            <w:noWrap/>
            <w:hideMark/>
          </w:tcPr>
          <w:p w14:paraId="7D8B309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2004</w:t>
            </w:r>
          </w:p>
        </w:tc>
        <w:tc>
          <w:tcPr>
            <w:tcW w:w="1024" w:type="dxa"/>
            <w:noWrap/>
            <w:hideMark/>
          </w:tcPr>
          <w:p w14:paraId="5FD54310"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2009</w:t>
            </w:r>
          </w:p>
        </w:tc>
        <w:tc>
          <w:tcPr>
            <w:tcW w:w="1024" w:type="dxa"/>
            <w:noWrap/>
            <w:hideMark/>
          </w:tcPr>
          <w:p w14:paraId="137AAE08"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2014</w:t>
            </w:r>
          </w:p>
        </w:tc>
        <w:tc>
          <w:tcPr>
            <w:tcW w:w="1024" w:type="dxa"/>
            <w:noWrap/>
            <w:hideMark/>
          </w:tcPr>
          <w:p w14:paraId="64732DFD"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2019</w:t>
            </w:r>
          </w:p>
        </w:tc>
      </w:tr>
      <w:tr w:rsidR="006E6C67" w:rsidRPr="006E6C67" w14:paraId="7EDDE87D"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1EB6421"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Česko</w:t>
            </w:r>
            <w:proofErr w:type="spellEnd"/>
          </w:p>
        </w:tc>
        <w:tc>
          <w:tcPr>
            <w:tcW w:w="1018" w:type="dxa"/>
            <w:noWrap/>
            <w:hideMark/>
          </w:tcPr>
          <w:p w14:paraId="3E6CF92A"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18.2</w:t>
            </w:r>
          </w:p>
        </w:tc>
        <w:tc>
          <w:tcPr>
            <w:tcW w:w="1018" w:type="dxa"/>
            <w:noWrap/>
            <w:hideMark/>
          </w:tcPr>
          <w:p w14:paraId="759F9C6B"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21.4</w:t>
            </w:r>
          </w:p>
        </w:tc>
        <w:tc>
          <w:tcPr>
            <w:tcW w:w="1018" w:type="dxa"/>
            <w:noWrap/>
            <w:hideMark/>
          </w:tcPr>
          <w:p w14:paraId="0740B5C0"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24.3</w:t>
            </w:r>
          </w:p>
        </w:tc>
        <w:tc>
          <w:tcPr>
            <w:tcW w:w="1018" w:type="dxa"/>
            <w:noWrap/>
            <w:hideMark/>
          </w:tcPr>
          <w:p w14:paraId="58894A69"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26.4</w:t>
            </w:r>
          </w:p>
        </w:tc>
        <w:tc>
          <w:tcPr>
            <w:tcW w:w="1024" w:type="dxa"/>
            <w:noWrap/>
            <w:hideMark/>
          </w:tcPr>
          <w:p w14:paraId="25F878C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27.0</w:t>
            </w:r>
          </w:p>
        </w:tc>
        <w:tc>
          <w:tcPr>
            <w:tcW w:w="1024" w:type="dxa"/>
            <w:noWrap/>
            <w:hideMark/>
          </w:tcPr>
          <w:p w14:paraId="483F6EC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25.4</w:t>
            </w:r>
          </w:p>
        </w:tc>
        <w:tc>
          <w:tcPr>
            <w:tcW w:w="1024" w:type="dxa"/>
            <w:noWrap/>
            <w:hideMark/>
          </w:tcPr>
          <w:p w14:paraId="448A5A88"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26.1</w:t>
            </w:r>
          </w:p>
        </w:tc>
        <w:tc>
          <w:tcPr>
            <w:tcW w:w="1024" w:type="dxa"/>
            <w:noWrap/>
            <w:hideMark/>
          </w:tcPr>
          <w:p w14:paraId="0ABFE5C2"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26.5</w:t>
            </w:r>
          </w:p>
        </w:tc>
      </w:tr>
      <w:tr w:rsidR="006E6C67" w:rsidRPr="006E6C67" w14:paraId="2E9E0806"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22CF946"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Maďarsko</w:t>
            </w:r>
            <w:proofErr w:type="spellEnd"/>
          </w:p>
        </w:tc>
        <w:tc>
          <w:tcPr>
            <w:tcW w:w="1018" w:type="dxa"/>
            <w:noWrap/>
            <w:hideMark/>
          </w:tcPr>
          <w:p w14:paraId="3263C1A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21.3</w:t>
            </w:r>
          </w:p>
        </w:tc>
        <w:tc>
          <w:tcPr>
            <w:tcW w:w="1018" w:type="dxa"/>
            <w:noWrap/>
            <w:hideMark/>
          </w:tcPr>
          <w:p w14:paraId="3808171A"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19.8</w:t>
            </w:r>
          </w:p>
        </w:tc>
        <w:tc>
          <w:tcPr>
            <w:tcW w:w="1018" w:type="dxa"/>
            <w:noWrap/>
            <w:hideMark/>
          </w:tcPr>
          <w:p w14:paraId="296B239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20.6</w:t>
            </w:r>
          </w:p>
        </w:tc>
        <w:tc>
          <w:tcPr>
            <w:tcW w:w="1018" w:type="dxa"/>
            <w:noWrap/>
            <w:hideMark/>
          </w:tcPr>
          <w:p w14:paraId="0E40A42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20.1</w:t>
            </w:r>
          </w:p>
        </w:tc>
        <w:tc>
          <w:tcPr>
            <w:tcW w:w="1024" w:type="dxa"/>
            <w:noWrap/>
            <w:hideMark/>
          </w:tcPr>
          <w:p w14:paraId="60E65FA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22.6</w:t>
            </w:r>
          </w:p>
        </w:tc>
        <w:tc>
          <w:tcPr>
            <w:tcW w:w="1024" w:type="dxa"/>
            <w:noWrap/>
            <w:hideMark/>
          </w:tcPr>
          <w:p w14:paraId="00EFA02C"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20.2</w:t>
            </w:r>
          </w:p>
        </w:tc>
        <w:tc>
          <w:tcPr>
            <w:tcW w:w="1024" w:type="dxa"/>
            <w:noWrap/>
            <w:hideMark/>
          </w:tcPr>
          <w:p w14:paraId="03E0750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18.9</w:t>
            </w:r>
          </w:p>
        </w:tc>
        <w:tc>
          <w:tcPr>
            <w:tcW w:w="1024" w:type="dxa"/>
            <w:noWrap/>
            <w:hideMark/>
          </w:tcPr>
          <w:p w14:paraId="54F74EFC"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19.0</w:t>
            </w:r>
          </w:p>
        </w:tc>
      </w:tr>
      <w:tr w:rsidR="006E6C67" w:rsidRPr="006E6C67" w14:paraId="7CCE87F7"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FA6AD09"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Polsko</w:t>
            </w:r>
            <w:proofErr w:type="spellEnd"/>
          </w:p>
        </w:tc>
        <w:tc>
          <w:tcPr>
            <w:tcW w:w="1018" w:type="dxa"/>
            <w:noWrap/>
            <w:hideMark/>
          </w:tcPr>
          <w:p w14:paraId="384930D3"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13.7</w:t>
            </w:r>
          </w:p>
        </w:tc>
        <w:tc>
          <w:tcPr>
            <w:tcW w:w="1018" w:type="dxa"/>
            <w:noWrap/>
            <w:hideMark/>
          </w:tcPr>
          <w:p w14:paraId="6AE2E08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16.7</w:t>
            </w:r>
          </w:p>
        </w:tc>
        <w:tc>
          <w:tcPr>
            <w:tcW w:w="1018" w:type="dxa"/>
            <w:noWrap/>
            <w:hideMark/>
          </w:tcPr>
          <w:p w14:paraId="1CCD4928"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18.9</w:t>
            </w:r>
          </w:p>
        </w:tc>
        <w:tc>
          <w:tcPr>
            <w:tcW w:w="1018" w:type="dxa"/>
            <w:noWrap/>
            <w:hideMark/>
          </w:tcPr>
          <w:p w14:paraId="0A7C4566"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19.8</w:t>
            </w:r>
          </w:p>
        </w:tc>
        <w:tc>
          <w:tcPr>
            <w:tcW w:w="1024" w:type="dxa"/>
            <w:noWrap/>
            <w:hideMark/>
          </w:tcPr>
          <w:p w14:paraId="5C7F0091"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19.4</w:t>
            </w:r>
          </w:p>
        </w:tc>
        <w:tc>
          <w:tcPr>
            <w:tcW w:w="1024" w:type="dxa"/>
            <w:noWrap/>
            <w:hideMark/>
          </w:tcPr>
          <w:p w14:paraId="0F45A274"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19.3</w:t>
            </w:r>
          </w:p>
        </w:tc>
        <w:tc>
          <w:tcPr>
            <w:tcW w:w="1024" w:type="dxa"/>
            <w:noWrap/>
            <w:hideMark/>
          </w:tcPr>
          <w:p w14:paraId="7D760591"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19.1</w:t>
            </w:r>
          </w:p>
        </w:tc>
        <w:tc>
          <w:tcPr>
            <w:tcW w:w="1024" w:type="dxa"/>
            <w:noWrap/>
            <w:hideMark/>
          </w:tcPr>
          <w:p w14:paraId="33C08C2E"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20.5</w:t>
            </w:r>
          </w:p>
        </w:tc>
      </w:tr>
      <w:tr w:rsidR="006E6C67" w:rsidRPr="006E6C67" w14:paraId="38341A77"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A4304F8"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Slovensko</w:t>
            </w:r>
            <w:proofErr w:type="spellEnd"/>
            <w:r w:rsidRPr="006E6C67">
              <w:rPr>
                <w:rFonts w:ascii="Arial" w:eastAsia="Times New Roman" w:hAnsi="Arial" w:cs="Arial"/>
                <w:sz w:val="20"/>
                <w:szCs w:val="20"/>
                <w:lang w:val="en-GB" w:eastAsia="en-GB"/>
              </w:rPr>
              <w:t xml:space="preserve"> </w:t>
            </w:r>
          </w:p>
        </w:tc>
        <w:tc>
          <w:tcPr>
            <w:tcW w:w="1018" w:type="dxa"/>
            <w:noWrap/>
            <w:hideMark/>
          </w:tcPr>
          <w:p w14:paraId="182269D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17.4</w:t>
            </w:r>
          </w:p>
        </w:tc>
        <w:tc>
          <w:tcPr>
            <w:tcW w:w="1018" w:type="dxa"/>
            <w:noWrap/>
            <w:hideMark/>
          </w:tcPr>
          <w:p w14:paraId="7B4375C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16.4</w:t>
            </w:r>
          </w:p>
        </w:tc>
        <w:tc>
          <w:tcPr>
            <w:tcW w:w="1018" w:type="dxa"/>
            <w:noWrap/>
            <w:hideMark/>
          </w:tcPr>
          <w:p w14:paraId="660B671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22.9</w:t>
            </w:r>
          </w:p>
        </w:tc>
        <w:tc>
          <w:tcPr>
            <w:tcW w:w="1018" w:type="dxa"/>
            <w:noWrap/>
            <w:hideMark/>
          </w:tcPr>
          <w:p w14:paraId="5E7E653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24.5</w:t>
            </w:r>
          </w:p>
        </w:tc>
        <w:tc>
          <w:tcPr>
            <w:tcW w:w="1024" w:type="dxa"/>
            <w:noWrap/>
            <w:hideMark/>
          </w:tcPr>
          <w:p w14:paraId="31FE1852"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24.1</w:t>
            </w:r>
          </w:p>
        </w:tc>
        <w:tc>
          <w:tcPr>
            <w:tcW w:w="1024" w:type="dxa"/>
            <w:noWrap/>
            <w:hideMark/>
          </w:tcPr>
          <w:p w14:paraId="7BF7C8B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21.8</w:t>
            </w:r>
          </w:p>
        </w:tc>
        <w:tc>
          <w:tcPr>
            <w:tcW w:w="1024" w:type="dxa"/>
            <w:noWrap/>
            <w:hideMark/>
          </w:tcPr>
          <w:p w14:paraId="6BDD21B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21.6</w:t>
            </w:r>
          </w:p>
        </w:tc>
        <w:tc>
          <w:tcPr>
            <w:tcW w:w="1024" w:type="dxa"/>
            <w:noWrap/>
            <w:hideMark/>
          </w:tcPr>
          <w:p w14:paraId="1D649EFD"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22.0</w:t>
            </w:r>
          </w:p>
        </w:tc>
      </w:tr>
      <w:tr w:rsidR="006E6C67" w:rsidRPr="006E6C67" w14:paraId="0325003E"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1E816CE"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Německo</w:t>
            </w:r>
            <w:proofErr w:type="spellEnd"/>
          </w:p>
        </w:tc>
        <w:tc>
          <w:tcPr>
            <w:tcW w:w="1018" w:type="dxa"/>
            <w:noWrap/>
            <w:hideMark/>
          </w:tcPr>
          <w:p w14:paraId="7FBFB2ED"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21.7</w:t>
            </w:r>
          </w:p>
        </w:tc>
        <w:tc>
          <w:tcPr>
            <w:tcW w:w="1018" w:type="dxa"/>
            <w:noWrap/>
            <w:hideMark/>
          </w:tcPr>
          <w:p w14:paraId="784022F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19.2</w:t>
            </w:r>
          </w:p>
        </w:tc>
        <w:tc>
          <w:tcPr>
            <w:tcW w:w="1018" w:type="dxa"/>
            <w:noWrap/>
            <w:hideMark/>
          </w:tcPr>
          <w:p w14:paraId="4F8B052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22.8</w:t>
            </w:r>
          </w:p>
        </w:tc>
        <w:tc>
          <w:tcPr>
            <w:tcW w:w="1018" w:type="dxa"/>
            <w:noWrap/>
            <w:hideMark/>
          </w:tcPr>
          <w:p w14:paraId="23524AEB"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22.3</w:t>
            </w:r>
          </w:p>
        </w:tc>
        <w:tc>
          <w:tcPr>
            <w:tcW w:w="1024" w:type="dxa"/>
            <w:noWrap/>
            <w:hideMark/>
          </w:tcPr>
          <w:p w14:paraId="2710DC5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18.7</w:t>
            </w:r>
          </w:p>
        </w:tc>
        <w:tc>
          <w:tcPr>
            <w:tcW w:w="1024" w:type="dxa"/>
            <w:noWrap/>
            <w:hideMark/>
          </w:tcPr>
          <w:p w14:paraId="4CE277B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17.8</w:t>
            </w:r>
          </w:p>
        </w:tc>
        <w:tc>
          <w:tcPr>
            <w:tcW w:w="1024" w:type="dxa"/>
            <w:noWrap/>
            <w:hideMark/>
          </w:tcPr>
          <w:p w14:paraId="2718379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17.5</w:t>
            </w:r>
          </w:p>
        </w:tc>
        <w:tc>
          <w:tcPr>
            <w:tcW w:w="1024" w:type="dxa"/>
            <w:noWrap/>
            <w:hideMark/>
          </w:tcPr>
          <w:p w14:paraId="671A9DC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17.1</w:t>
            </w:r>
          </w:p>
        </w:tc>
      </w:tr>
      <w:tr w:rsidR="006E6C67" w:rsidRPr="006E6C67" w14:paraId="7A8E53C4"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D870F88" w14:textId="77777777" w:rsidR="006E6C67" w:rsidRPr="006E6C67" w:rsidRDefault="006E6C67" w:rsidP="006E6C67">
            <w:pPr>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EU 28</w:t>
            </w:r>
          </w:p>
        </w:tc>
        <w:tc>
          <w:tcPr>
            <w:tcW w:w="1018" w:type="dxa"/>
            <w:noWrap/>
            <w:hideMark/>
          </w:tcPr>
          <w:p w14:paraId="016BB96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15.9</w:t>
            </w:r>
          </w:p>
        </w:tc>
        <w:tc>
          <w:tcPr>
            <w:tcW w:w="1018" w:type="dxa"/>
            <w:noWrap/>
            <w:hideMark/>
          </w:tcPr>
          <w:p w14:paraId="1CB4DC4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14.3</w:t>
            </w:r>
          </w:p>
        </w:tc>
        <w:tc>
          <w:tcPr>
            <w:tcW w:w="1018" w:type="dxa"/>
            <w:noWrap/>
            <w:hideMark/>
          </w:tcPr>
          <w:p w14:paraId="6173F958"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15.5</w:t>
            </w:r>
          </w:p>
        </w:tc>
        <w:tc>
          <w:tcPr>
            <w:tcW w:w="1018" w:type="dxa"/>
            <w:noWrap/>
            <w:hideMark/>
          </w:tcPr>
          <w:p w14:paraId="393190F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15.7</w:t>
            </w:r>
          </w:p>
        </w:tc>
        <w:tc>
          <w:tcPr>
            <w:tcW w:w="1024" w:type="dxa"/>
            <w:noWrap/>
            <w:hideMark/>
          </w:tcPr>
          <w:p w14:paraId="3D93AD7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16.2</w:t>
            </w:r>
          </w:p>
        </w:tc>
        <w:tc>
          <w:tcPr>
            <w:tcW w:w="1024" w:type="dxa"/>
            <w:noWrap/>
            <w:hideMark/>
          </w:tcPr>
          <w:p w14:paraId="6572CEF3"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14.5</w:t>
            </w:r>
          </w:p>
        </w:tc>
        <w:tc>
          <w:tcPr>
            <w:tcW w:w="1024" w:type="dxa"/>
            <w:noWrap/>
            <w:hideMark/>
          </w:tcPr>
          <w:p w14:paraId="007A31D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13.8</w:t>
            </w:r>
          </w:p>
        </w:tc>
        <w:tc>
          <w:tcPr>
            <w:tcW w:w="1024" w:type="dxa"/>
            <w:noWrap/>
            <w:hideMark/>
          </w:tcPr>
          <w:p w14:paraId="6AD7F992"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13.6</w:t>
            </w:r>
          </w:p>
        </w:tc>
      </w:tr>
    </w:tbl>
    <w:p w14:paraId="41308A01" w14:textId="77777777" w:rsidR="006E6C67" w:rsidRDefault="006E6C67" w:rsidP="00D92761">
      <w:pPr>
        <w:jc w:val="both"/>
      </w:pPr>
      <w:r>
        <w:lastRenderedPageBreak/>
        <w:fldChar w:fldCharType="end"/>
      </w:r>
    </w:p>
    <w:p w14:paraId="7E2B0F51" w14:textId="77777777" w:rsidR="008A1CA0" w:rsidRDefault="008A1CA0" w:rsidP="00D92761">
      <w:pPr>
        <w:jc w:val="both"/>
      </w:pPr>
    </w:p>
    <w:p w14:paraId="54F79727" w14:textId="0D98A8CD" w:rsidR="00E86FE6" w:rsidRDefault="00E86FE6" w:rsidP="004B1C70">
      <w:pPr>
        <w:jc w:val="both"/>
      </w:pPr>
      <w:r>
        <w:t>Důležitým ukazatelem, který nám zobrazuje ekonomický růstu ve zpracovatelském průmyslu je průměrné  tempo růstu ekonomické výkonnosti měřené hrubou přidanou hodnotou. Následující graf nám zobrazuje průměrný růstu tohoto ukazatele za sledované období. Je zřejmé, že u všech států dochází, k dohánění EU 28</w:t>
      </w:r>
      <w:r w:rsidR="00574E7D">
        <w:t xml:space="preserve"> a Německa</w:t>
      </w:r>
      <w:r>
        <w:t>, kdy růstu převyšuje růst průměr</w:t>
      </w:r>
      <w:r w:rsidR="00574E7D">
        <w:t>u EU 28</w:t>
      </w:r>
      <w:r>
        <w:t xml:space="preserve">. </w:t>
      </w:r>
    </w:p>
    <w:p w14:paraId="396E8F68" w14:textId="77777777" w:rsidR="00E86FE6" w:rsidRDefault="00780F58" w:rsidP="00E86FE6">
      <w:r>
        <w:t>Graf č. X: P</w:t>
      </w:r>
      <w:r w:rsidR="00E86FE6">
        <w:t xml:space="preserve">růměrné tempo růstu GVA za sledované období </w:t>
      </w:r>
      <w:r w:rsidR="004B1C70">
        <w:t xml:space="preserve">v zemích V4 (index) </w:t>
      </w:r>
    </w:p>
    <w:p w14:paraId="61805342" w14:textId="77777777" w:rsidR="00E86FE6" w:rsidRDefault="00E86FE6" w:rsidP="00E86FE6">
      <w:r>
        <w:rPr>
          <w:noProof/>
          <w:lang w:eastAsia="cs-CZ"/>
        </w:rPr>
        <w:drawing>
          <wp:inline distT="0" distB="0" distL="0" distR="0" wp14:anchorId="6769A8A4" wp14:editId="5B777DF5">
            <wp:extent cx="5730240" cy="2743200"/>
            <wp:effectExtent l="0" t="0" r="381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06F9F3" w14:textId="77777777" w:rsidR="00683D92" w:rsidRDefault="00683D92" w:rsidP="00D92761">
      <w:pPr>
        <w:jc w:val="both"/>
      </w:pPr>
    </w:p>
    <w:p w14:paraId="0DAF9322" w14:textId="519A3891" w:rsidR="00780F58" w:rsidRDefault="004B1C70" w:rsidP="00D92761">
      <w:pPr>
        <w:jc w:val="both"/>
      </w:pPr>
      <w:r>
        <w:t xml:space="preserve">Další část je zaměřena na hlavní problematiku této práce, která je zaměřena na oblast efektivity výrobních faktorů. </w:t>
      </w:r>
      <w:r w:rsidR="0070257C">
        <w:t xml:space="preserve">Následující tabulka nám poskytuje pohled na vývoj produktivity práce kapitálu ve zpracovatelském průmyslu za jednotlivé státy V4  a při srovnání s průměrem EU 28 a Německem.  Je zřetelné, že  produktivita práce a kapitálu se v uvedených státech výrazně zvýšila od roku 2004  ve většině států až na dvojnásobnou úroveň.  </w:t>
      </w:r>
      <w:r w:rsidR="00780F58">
        <w:t xml:space="preserve">Na druhé straně je nutné zde upozornit, že výsledek vychází ze stálých cen a k počtu zaměstnanců. </w:t>
      </w:r>
    </w:p>
    <w:p w14:paraId="23AC2724" w14:textId="693DC1E6" w:rsidR="00E86FE6" w:rsidRDefault="00780F58" w:rsidP="00D92761">
      <w:pPr>
        <w:jc w:val="both"/>
      </w:pPr>
      <w:r>
        <w:t>Tabulka č. X:Vývoj produktivity práce kapitálu v zemích V4</w:t>
      </w:r>
      <w:r w:rsidR="00683D92">
        <w:fldChar w:fldCharType="begin"/>
      </w:r>
      <w:r w:rsidR="00683D92">
        <w:instrText xml:space="preserve"> LINK </w:instrText>
      </w:r>
      <w:r w:rsidR="000927C0">
        <w:instrText xml:space="preserve">Excel.Sheet.12 C:\\Users\\homework\\Documents\\Sešitee1.xlsx List1!R41C2:R48C10 </w:instrText>
      </w:r>
      <w:r w:rsidR="00683D92">
        <w:instrText xml:space="preserve">\a \f 4 \h </w:instrText>
      </w:r>
      <w:r w:rsidR="004B1C70">
        <w:instrText xml:space="preserve"> \* MERGEFORMAT </w:instrText>
      </w:r>
      <w:r w:rsidR="00683D92">
        <w:fldChar w:fldCharType="separate"/>
      </w:r>
    </w:p>
    <w:tbl>
      <w:tblPr>
        <w:tblStyle w:val="Tabulkasmkou4zvraznn5"/>
        <w:tblW w:w="8640" w:type="dxa"/>
        <w:tblLook w:val="04A0" w:firstRow="1" w:lastRow="0" w:firstColumn="1" w:lastColumn="0" w:noHBand="0" w:noVBand="1"/>
      </w:tblPr>
      <w:tblGrid>
        <w:gridCol w:w="1217"/>
        <w:gridCol w:w="960"/>
        <w:gridCol w:w="960"/>
        <w:gridCol w:w="960"/>
        <w:gridCol w:w="960"/>
        <w:gridCol w:w="960"/>
        <w:gridCol w:w="960"/>
        <w:gridCol w:w="960"/>
        <w:gridCol w:w="960"/>
      </w:tblGrid>
      <w:tr w:rsidR="00E86FE6" w:rsidRPr="00E86FE6" w14:paraId="22D9DC37" w14:textId="77777777" w:rsidTr="004B1C70">
        <w:trPr>
          <w:cnfStyle w:val="100000000000" w:firstRow="1" w:lastRow="0" w:firstColumn="0" w:lastColumn="0" w:oddVBand="0" w:evenVBand="0" w:oddHBand="0"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E6654DD" w14:textId="77777777" w:rsidR="00E86FE6" w:rsidRPr="00E86FE6" w:rsidRDefault="00E86FE6" w:rsidP="00E86FE6">
            <w:pPr>
              <w:jc w:val="center"/>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Země </w:t>
            </w:r>
          </w:p>
        </w:tc>
        <w:tc>
          <w:tcPr>
            <w:tcW w:w="3840" w:type="dxa"/>
            <w:gridSpan w:val="4"/>
            <w:noWrap/>
            <w:hideMark/>
          </w:tcPr>
          <w:p w14:paraId="56D27262"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Produktivita práce </w:t>
            </w:r>
          </w:p>
        </w:tc>
        <w:tc>
          <w:tcPr>
            <w:tcW w:w="3840" w:type="dxa"/>
            <w:gridSpan w:val="4"/>
            <w:noWrap/>
            <w:hideMark/>
          </w:tcPr>
          <w:p w14:paraId="627AFA1C"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Produktivita kap</w:t>
            </w:r>
            <w:r>
              <w:rPr>
                <w:rFonts w:ascii="Calibri" w:eastAsia="Times New Roman" w:hAnsi="Calibri" w:cs="Calibri"/>
                <w:color w:val="000000"/>
                <w:lang w:eastAsia="cs-CZ"/>
              </w:rPr>
              <w:t>itálu</w:t>
            </w:r>
          </w:p>
        </w:tc>
      </w:tr>
      <w:tr w:rsidR="00E86FE6" w:rsidRPr="00E86FE6" w14:paraId="43002B33"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vMerge/>
            <w:hideMark/>
          </w:tcPr>
          <w:p w14:paraId="1AE1EDDE" w14:textId="77777777" w:rsidR="00E86FE6" w:rsidRPr="00E86FE6" w:rsidRDefault="00E86FE6" w:rsidP="00E86FE6">
            <w:pPr>
              <w:rPr>
                <w:rFonts w:ascii="Calibri" w:eastAsia="Times New Roman" w:hAnsi="Calibri" w:cs="Calibri"/>
                <w:color w:val="000000"/>
                <w:lang w:eastAsia="cs-CZ"/>
              </w:rPr>
            </w:pPr>
          </w:p>
        </w:tc>
        <w:tc>
          <w:tcPr>
            <w:tcW w:w="960" w:type="dxa"/>
            <w:noWrap/>
            <w:hideMark/>
          </w:tcPr>
          <w:p w14:paraId="686F26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0B3264CC"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2751934B"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7F8C6C06"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c>
          <w:tcPr>
            <w:tcW w:w="960" w:type="dxa"/>
            <w:noWrap/>
            <w:hideMark/>
          </w:tcPr>
          <w:p w14:paraId="491922D5"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645A1A9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6FBA4108"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575DC29F"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r>
      <w:tr w:rsidR="00E86FE6" w:rsidRPr="00E86FE6" w14:paraId="3B6B144B"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860A68"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Česko</w:t>
            </w:r>
          </w:p>
        </w:tc>
        <w:tc>
          <w:tcPr>
            <w:tcW w:w="960" w:type="dxa"/>
            <w:noWrap/>
            <w:hideMark/>
          </w:tcPr>
          <w:p w14:paraId="494A318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16.33</w:t>
            </w:r>
          </w:p>
        </w:tc>
        <w:tc>
          <w:tcPr>
            <w:tcW w:w="960" w:type="dxa"/>
            <w:noWrap/>
            <w:hideMark/>
          </w:tcPr>
          <w:p w14:paraId="3E5B5B6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22.88</w:t>
            </w:r>
          </w:p>
        </w:tc>
        <w:tc>
          <w:tcPr>
            <w:tcW w:w="960" w:type="dxa"/>
            <w:noWrap/>
            <w:hideMark/>
          </w:tcPr>
          <w:p w14:paraId="51CEDB0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27.04</w:t>
            </w:r>
          </w:p>
        </w:tc>
        <w:tc>
          <w:tcPr>
            <w:tcW w:w="960" w:type="dxa"/>
            <w:noWrap/>
            <w:hideMark/>
          </w:tcPr>
          <w:p w14:paraId="07B4ABF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32.69</w:t>
            </w:r>
          </w:p>
        </w:tc>
        <w:tc>
          <w:tcPr>
            <w:tcW w:w="960" w:type="dxa"/>
            <w:noWrap/>
            <w:hideMark/>
          </w:tcPr>
          <w:p w14:paraId="39365DE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c>
          <w:tcPr>
            <w:tcW w:w="960" w:type="dxa"/>
            <w:noWrap/>
            <w:hideMark/>
          </w:tcPr>
          <w:p w14:paraId="75BD36B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3.77</w:t>
            </w:r>
          </w:p>
        </w:tc>
        <w:tc>
          <w:tcPr>
            <w:tcW w:w="960" w:type="dxa"/>
            <w:noWrap/>
            <w:hideMark/>
          </w:tcPr>
          <w:p w14:paraId="76E8F57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3.60</w:t>
            </w:r>
          </w:p>
        </w:tc>
        <w:tc>
          <w:tcPr>
            <w:tcW w:w="960" w:type="dxa"/>
            <w:noWrap/>
            <w:hideMark/>
          </w:tcPr>
          <w:p w14:paraId="621E31D8"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3.68</w:t>
            </w:r>
          </w:p>
        </w:tc>
      </w:tr>
      <w:tr w:rsidR="00E86FE6" w:rsidRPr="00E86FE6" w14:paraId="1197FE78"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F65F82"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Maďarsko</w:t>
            </w:r>
          </w:p>
        </w:tc>
        <w:tc>
          <w:tcPr>
            <w:tcW w:w="960" w:type="dxa"/>
            <w:noWrap/>
            <w:hideMark/>
          </w:tcPr>
          <w:p w14:paraId="27BAC509"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18.58</w:t>
            </w:r>
          </w:p>
        </w:tc>
        <w:tc>
          <w:tcPr>
            <w:tcW w:w="960" w:type="dxa"/>
            <w:noWrap/>
            <w:hideMark/>
          </w:tcPr>
          <w:p w14:paraId="4325B6B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20.56</w:t>
            </w:r>
          </w:p>
        </w:tc>
        <w:tc>
          <w:tcPr>
            <w:tcW w:w="960" w:type="dxa"/>
            <w:noWrap/>
            <w:hideMark/>
          </w:tcPr>
          <w:p w14:paraId="18DEAEFF"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23.57</w:t>
            </w:r>
          </w:p>
        </w:tc>
        <w:tc>
          <w:tcPr>
            <w:tcW w:w="960" w:type="dxa"/>
            <w:noWrap/>
            <w:hideMark/>
          </w:tcPr>
          <w:p w14:paraId="31EC286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24.98</w:t>
            </w:r>
          </w:p>
        </w:tc>
        <w:tc>
          <w:tcPr>
            <w:tcW w:w="960" w:type="dxa"/>
            <w:noWrap/>
            <w:hideMark/>
          </w:tcPr>
          <w:p w14:paraId="4BD7DB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3.85</w:t>
            </w:r>
          </w:p>
        </w:tc>
        <w:tc>
          <w:tcPr>
            <w:tcW w:w="960" w:type="dxa"/>
            <w:noWrap/>
            <w:hideMark/>
          </w:tcPr>
          <w:p w14:paraId="331A168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3.83</w:t>
            </w:r>
          </w:p>
        </w:tc>
        <w:tc>
          <w:tcPr>
            <w:tcW w:w="960" w:type="dxa"/>
            <w:noWrap/>
            <w:hideMark/>
          </w:tcPr>
          <w:p w14:paraId="0ADE4AAD"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2.87</w:t>
            </w:r>
          </w:p>
        </w:tc>
        <w:tc>
          <w:tcPr>
            <w:tcW w:w="960" w:type="dxa"/>
            <w:noWrap/>
            <w:hideMark/>
          </w:tcPr>
          <w:p w14:paraId="0CE39356"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r>
      <w:tr w:rsidR="00E86FE6" w:rsidRPr="00E86FE6" w14:paraId="0F145D3E"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0A0C3A"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Polsko</w:t>
            </w:r>
          </w:p>
        </w:tc>
        <w:tc>
          <w:tcPr>
            <w:tcW w:w="960" w:type="dxa"/>
            <w:noWrap/>
            <w:hideMark/>
          </w:tcPr>
          <w:p w14:paraId="0F83BD41"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12.49</w:t>
            </w:r>
          </w:p>
        </w:tc>
        <w:tc>
          <w:tcPr>
            <w:tcW w:w="960" w:type="dxa"/>
            <w:noWrap/>
            <w:hideMark/>
          </w:tcPr>
          <w:p w14:paraId="4C001239"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16.84</w:t>
            </w:r>
          </w:p>
        </w:tc>
        <w:tc>
          <w:tcPr>
            <w:tcW w:w="960" w:type="dxa"/>
            <w:noWrap/>
            <w:hideMark/>
          </w:tcPr>
          <w:p w14:paraId="39C7E39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22.20</w:t>
            </w:r>
          </w:p>
        </w:tc>
        <w:tc>
          <w:tcPr>
            <w:tcW w:w="960" w:type="dxa"/>
            <w:noWrap/>
            <w:hideMark/>
          </w:tcPr>
          <w:p w14:paraId="4473956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25.81</w:t>
            </w:r>
          </w:p>
        </w:tc>
        <w:tc>
          <w:tcPr>
            <w:tcW w:w="960" w:type="dxa"/>
            <w:noWrap/>
            <w:hideMark/>
          </w:tcPr>
          <w:p w14:paraId="2137D0C3"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3.35</w:t>
            </w:r>
          </w:p>
        </w:tc>
        <w:tc>
          <w:tcPr>
            <w:tcW w:w="960" w:type="dxa"/>
            <w:noWrap/>
            <w:hideMark/>
          </w:tcPr>
          <w:p w14:paraId="755086B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3.96</w:t>
            </w:r>
          </w:p>
        </w:tc>
        <w:tc>
          <w:tcPr>
            <w:tcW w:w="960" w:type="dxa"/>
            <w:noWrap/>
            <w:hideMark/>
          </w:tcPr>
          <w:p w14:paraId="2D4D8F1F"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4.30</w:t>
            </w:r>
          </w:p>
        </w:tc>
        <w:tc>
          <w:tcPr>
            <w:tcW w:w="960" w:type="dxa"/>
            <w:noWrap/>
            <w:hideMark/>
          </w:tcPr>
          <w:p w14:paraId="1378745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3.73</w:t>
            </w:r>
          </w:p>
        </w:tc>
      </w:tr>
      <w:tr w:rsidR="00E86FE6" w:rsidRPr="00E86FE6" w14:paraId="41DF644D"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49BE03"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 xml:space="preserve">Slovensko </w:t>
            </w:r>
          </w:p>
        </w:tc>
        <w:tc>
          <w:tcPr>
            <w:tcW w:w="960" w:type="dxa"/>
            <w:noWrap/>
            <w:hideMark/>
          </w:tcPr>
          <w:p w14:paraId="770B2C30"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15.74</w:t>
            </w:r>
          </w:p>
        </w:tc>
        <w:tc>
          <w:tcPr>
            <w:tcW w:w="960" w:type="dxa"/>
            <w:noWrap/>
            <w:hideMark/>
          </w:tcPr>
          <w:p w14:paraId="02AB2900"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19.98</w:t>
            </w:r>
          </w:p>
        </w:tc>
        <w:tc>
          <w:tcPr>
            <w:tcW w:w="960" w:type="dxa"/>
            <w:noWrap/>
            <w:hideMark/>
          </w:tcPr>
          <w:p w14:paraId="7B508657"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31.93</w:t>
            </w:r>
          </w:p>
        </w:tc>
        <w:tc>
          <w:tcPr>
            <w:tcW w:w="960" w:type="dxa"/>
            <w:noWrap/>
            <w:hideMark/>
          </w:tcPr>
          <w:p w14:paraId="5B3EB14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35.13</w:t>
            </w:r>
          </w:p>
        </w:tc>
        <w:tc>
          <w:tcPr>
            <w:tcW w:w="960" w:type="dxa"/>
            <w:noWrap/>
            <w:hideMark/>
          </w:tcPr>
          <w:p w14:paraId="0F245434"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w:t>
            </w:r>
          </w:p>
        </w:tc>
        <w:tc>
          <w:tcPr>
            <w:tcW w:w="960" w:type="dxa"/>
            <w:noWrap/>
            <w:hideMark/>
          </w:tcPr>
          <w:p w14:paraId="7FBF0D14"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3.40</w:t>
            </w:r>
          </w:p>
        </w:tc>
        <w:tc>
          <w:tcPr>
            <w:tcW w:w="960" w:type="dxa"/>
            <w:noWrap/>
            <w:hideMark/>
          </w:tcPr>
          <w:p w14:paraId="5F65AF53"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4.42</w:t>
            </w:r>
          </w:p>
        </w:tc>
        <w:tc>
          <w:tcPr>
            <w:tcW w:w="960" w:type="dxa"/>
            <w:noWrap/>
            <w:hideMark/>
          </w:tcPr>
          <w:p w14:paraId="5B03F51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4.33</w:t>
            </w:r>
          </w:p>
        </w:tc>
      </w:tr>
      <w:tr w:rsidR="00E86FE6" w:rsidRPr="00E86FE6" w14:paraId="5DED8638"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17C719"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Německo</w:t>
            </w:r>
          </w:p>
        </w:tc>
        <w:tc>
          <w:tcPr>
            <w:tcW w:w="960" w:type="dxa"/>
            <w:noWrap/>
            <w:hideMark/>
          </w:tcPr>
          <w:p w14:paraId="553DDDD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63.29</w:t>
            </w:r>
          </w:p>
        </w:tc>
        <w:tc>
          <w:tcPr>
            <w:tcW w:w="960" w:type="dxa"/>
            <w:noWrap/>
            <w:hideMark/>
          </w:tcPr>
          <w:p w14:paraId="4174D0E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58.27</w:t>
            </w:r>
          </w:p>
        </w:tc>
        <w:tc>
          <w:tcPr>
            <w:tcW w:w="960" w:type="dxa"/>
            <w:noWrap/>
            <w:hideMark/>
          </w:tcPr>
          <w:p w14:paraId="397E3C0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75.37</w:t>
            </w:r>
          </w:p>
        </w:tc>
        <w:tc>
          <w:tcPr>
            <w:tcW w:w="960" w:type="dxa"/>
            <w:noWrap/>
            <w:hideMark/>
          </w:tcPr>
          <w:p w14:paraId="3AD1AEC9"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76.83</w:t>
            </w:r>
          </w:p>
        </w:tc>
        <w:tc>
          <w:tcPr>
            <w:tcW w:w="960" w:type="dxa"/>
            <w:noWrap/>
            <w:hideMark/>
          </w:tcPr>
          <w:p w14:paraId="192B317C"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5.27</w:t>
            </w:r>
          </w:p>
        </w:tc>
        <w:tc>
          <w:tcPr>
            <w:tcW w:w="960" w:type="dxa"/>
            <w:noWrap/>
            <w:hideMark/>
          </w:tcPr>
          <w:p w14:paraId="29161B1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4.77</w:t>
            </w:r>
          </w:p>
        </w:tc>
        <w:tc>
          <w:tcPr>
            <w:tcW w:w="960" w:type="dxa"/>
            <w:noWrap/>
            <w:hideMark/>
          </w:tcPr>
          <w:p w14:paraId="50193DC8"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5.51</w:t>
            </w:r>
          </w:p>
        </w:tc>
        <w:tc>
          <w:tcPr>
            <w:tcW w:w="960" w:type="dxa"/>
            <w:noWrap/>
            <w:hideMark/>
          </w:tcPr>
          <w:p w14:paraId="7363FCFE"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r>
      <w:tr w:rsidR="00E86FE6" w:rsidRPr="00E86FE6" w14:paraId="76F5CE5D"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430C8C"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EU 28</w:t>
            </w:r>
          </w:p>
        </w:tc>
        <w:tc>
          <w:tcPr>
            <w:tcW w:w="960" w:type="dxa"/>
            <w:noWrap/>
            <w:hideMark/>
          </w:tcPr>
          <w:p w14:paraId="334560E1"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48.33</w:t>
            </w:r>
          </w:p>
        </w:tc>
        <w:tc>
          <w:tcPr>
            <w:tcW w:w="960" w:type="dxa"/>
            <w:noWrap/>
            <w:hideMark/>
          </w:tcPr>
          <w:p w14:paraId="07A261B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49.01</w:t>
            </w:r>
          </w:p>
        </w:tc>
        <w:tc>
          <w:tcPr>
            <w:tcW w:w="960" w:type="dxa"/>
            <w:noWrap/>
            <w:hideMark/>
          </w:tcPr>
          <w:p w14:paraId="7B8AA7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59.11</w:t>
            </w:r>
          </w:p>
        </w:tc>
        <w:tc>
          <w:tcPr>
            <w:tcW w:w="960" w:type="dxa"/>
            <w:noWrap/>
            <w:hideMark/>
          </w:tcPr>
          <w:p w14:paraId="11564D4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63.13</w:t>
            </w:r>
          </w:p>
        </w:tc>
        <w:tc>
          <w:tcPr>
            <w:tcW w:w="960" w:type="dxa"/>
            <w:noWrap/>
            <w:hideMark/>
          </w:tcPr>
          <w:p w14:paraId="36DEA895"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4.89</w:t>
            </w:r>
          </w:p>
        </w:tc>
        <w:tc>
          <w:tcPr>
            <w:tcW w:w="960" w:type="dxa"/>
            <w:noWrap/>
            <w:hideMark/>
          </w:tcPr>
          <w:p w14:paraId="16F61A2C"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c>
          <w:tcPr>
            <w:tcW w:w="960" w:type="dxa"/>
            <w:noWrap/>
            <w:hideMark/>
          </w:tcPr>
          <w:p w14:paraId="7A56CCB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4.96</w:t>
            </w:r>
          </w:p>
        </w:tc>
        <w:tc>
          <w:tcPr>
            <w:tcW w:w="960" w:type="dxa"/>
            <w:noWrap/>
            <w:hideMark/>
          </w:tcPr>
          <w:p w14:paraId="6EF98F27"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4.05</w:t>
            </w:r>
          </w:p>
        </w:tc>
      </w:tr>
    </w:tbl>
    <w:p w14:paraId="4EFAC816" w14:textId="4EF3ABAB" w:rsidR="008A1CA0" w:rsidRDefault="00683D92" w:rsidP="00D92761">
      <w:pPr>
        <w:jc w:val="both"/>
      </w:pPr>
      <w:r>
        <w:fldChar w:fldCharType="end"/>
      </w:r>
    </w:p>
    <w:p w14:paraId="750D8E18" w14:textId="77777777" w:rsidR="00427993" w:rsidRDefault="00427993" w:rsidP="00D92761">
      <w:pPr>
        <w:jc w:val="both"/>
      </w:pPr>
    </w:p>
    <w:p w14:paraId="2478F249" w14:textId="3FC710D3" w:rsidR="00427993" w:rsidRDefault="00427993" w:rsidP="00427993">
      <w:pPr>
        <w:jc w:val="both"/>
      </w:pPr>
      <w:r>
        <w:t xml:space="preserve">V případě, že by produktivita práce byla vyjádřena velikostí hrubé přidané hodnoty připadající na náklady na zaměstnance (ukazatel LP2), zde by již došlo k výrazné odchylce díky vysokým nákladů na </w:t>
      </w:r>
      <w:r>
        <w:lastRenderedPageBreak/>
        <w:t xml:space="preserve">mzdy zaměstnanců v Německu oproti zemím V4.  Tento rozdíl ve vypovídací schopnosti je patrný z následující tabulky. Použité náklady práce byly z důvodu použití fixních cen roku 2010  </w:t>
      </w:r>
      <w:proofErr w:type="spellStart"/>
      <w:r>
        <w:t>deflovány</w:t>
      </w:r>
      <w:proofErr w:type="spellEnd"/>
      <w:r>
        <w:t xml:space="preserve"> za pomocí vývoje indexu spotřebitelských cen jednotlivých států. Výsledek komparace LP1 a LP2 je takový, že v  případě produktivity vycházející z osobních nákladů by státy V4 dosahovaly vyšší produktivity práce oproti německým </w:t>
      </w:r>
      <w:proofErr w:type="gramStart"/>
      <w:r>
        <w:t>podniků</w:t>
      </w:r>
      <w:proofErr w:type="gramEnd"/>
      <w:r>
        <w:t>. Z tohoto důvodu byl pro další analýzu právě vybrán ukazatel, který abstrahuje vliv ceny práce (ukazatel LP1).</w:t>
      </w:r>
    </w:p>
    <w:p w14:paraId="05DAC90A" w14:textId="23D8D234" w:rsidR="005A24DB" w:rsidRDefault="00427993" w:rsidP="00D92761">
      <w:pPr>
        <w:jc w:val="both"/>
      </w:pPr>
      <w:r>
        <w:t>Tabulka č. X:Vývoj produktivit práce – LP2 a LP1</w:t>
      </w:r>
    </w:p>
    <w:tbl>
      <w:tblPr>
        <w:tblStyle w:val="Tabulkasmkou4zvraznn5"/>
        <w:tblW w:w="9434" w:type="dxa"/>
        <w:tblLayout w:type="fixed"/>
        <w:tblLook w:val="04A0" w:firstRow="1" w:lastRow="0" w:firstColumn="1" w:lastColumn="0" w:noHBand="0" w:noVBand="1"/>
      </w:tblPr>
      <w:tblGrid>
        <w:gridCol w:w="1555"/>
        <w:gridCol w:w="984"/>
        <w:gridCol w:w="858"/>
        <w:gridCol w:w="1112"/>
        <w:gridCol w:w="985"/>
        <w:gridCol w:w="985"/>
        <w:gridCol w:w="887"/>
        <w:gridCol w:w="1134"/>
        <w:gridCol w:w="934"/>
      </w:tblGrid>
      <w:tr w:rsidR="00427993" w:rsidRPr="00427993" w14:paraId="32D384F2" w14:textId="77777777" w:rsidTr="00427993">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21F011E8" w14:textId="6FA2C691" w:rsidR="00427993" w:rsidRPr="00427993" w:rsidRDefault="00427993" w:rsidP="00427993">
            <w:pPr>
              <w:jc w:val="center"/>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Země</w:t>
            </w:r>
            <w:proofErr w:type="spellEnd"/>
          </w:p>
        </w:tc>
        <w:tc>
          <w:tcPr>
            <w:tcW w:w="3939" w:type="dxa"/>
            <w:gridSpan w:val="4"/>
            <w:noWrap/>
            <w:hideMark/>
          </w:tcPr>
          <w:p w14:paraId="11EBA390" w14:textId="77777777" w:rsidR="00427993" w:rsidRPr="00427993" w:rsidRDefault="00427993" w:rsidP="004279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427993">
              <w:rPr>
                <w:rFonts w:ascii="Calibri" w:eastAsia="Times New Roman" w:hAnsi="Calibri" w:cs="Calibri"/>
                <w:color w:val="000000"/>
                <w:lang w:val="en-GB" w:eastAsia="en-GB"/>
              </w:rPr>
              <w:t>LP 2</w:t>
            </w:r>
          </w:p>
        </w:tc>
        <w:tc>
          <w:tcPr>
            <w:tcW w:w="3940" w:type="dxa"/>
            <w:gridSpan w:val="4"/>
            <w:noWrap/>
            <w:hideMark/>
          </w:tcPr>
          <w:p w14:paraId="17EE7A38" w14:textId="77777777" w:rsidR="00427993" w:rsidRPr="00427993" w:rsidRDefault="00427993" w:rsidP="004279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427993">
              <w:rPr>
                <w:rFonts w:ascii="Calibri" w:eastAsia="Times New Roman" w:hAnsi="Calibri" w:cs="Calibri"/>
                <w:color w:val="000000"/>
                <w:lang w:val="en-GB" w:eastAsia="en-GB"/>
              </w:rPr>
              <w:t>LP 1</w:t>
            </w:r>
          </w:p>
        </w:tc>
      </w:tr>
      <w:tr w:rsidR="00427993" w:rsidRPr="00427993" w14:paraId="0F2D50DC"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7A00024" w14:textId="77777777" w:rsidR="00427993" w:rsidRPr="00427993" w:rsidRDefault="00427993" w:rsidP="00427993">
            <w:pPr>
              <w:rPr>
                <w:rFonts w:ascii="Calibri" w:eastAsia="Times New Roman" w:hAnsi="Calibri" w:cs="Calibri"/>
                <w:color w:val="000000"/>
                <w:lang w:val="en-GB" w:eastAsia="en-GB"/>
              </w:rPr>
            </w:pPr>
          </w:p>
        </w:tc>
        <w:tc>
          <w:tcPr>
            <w:tcW w:w="984" w:type="dxa"/>
            <w:noWrap/>
            <w:hideMark/>
          </w:tcPr>
          <w:p w14:paraId="5032692D"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2004</w:t>
            </w:r>
          </w:p>
        </w:tc>
        <w:tc>
          <w:tcPr>
            <w:tcW w:w="858" w:type="dxa"/>
            <w:noWrap/>
            <w:hideMark/>
          </w:tcPr>
          <w:p w14:paraId="38F9C62E"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2019</w:t>
            </w:r>
          </w:p>
        </w:tc>
        <w:tc>
          <w:tcPr>
            <w:tcW w:w="1112" w:type="dxa"/>
            <w:noWrap/>
            <w:hideMark/>
          </w:tcPr>
          <w:p w14:paraId="61349C97"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Index 2019/2004</w:t>
            </w:r>
          </w:p>
        </w:tc>
        <w:tc>
          <w:tcPr>
            <w:tcW w:w="985" w:type="dxa"/>
            <w:noWrap/>
            <w:hideMark/>
          </w:tcPr>
          <w:p w14:paraId="3A682A71"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Úroveň</w:t>
            </w:r>
          </w:p>
        </w:tc>
        <w:tc>
          <w:tcPr>
            <w:tcW w:w="985" w:type="dxa"/>
            <w:noWrap/>
            <w:hideMark/>
          </w:tcPr>
          <w:p w14:paraId="493105D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2004</w:t>
            </w:r>
          </w:p>
        </w:tc>
        <w:tc>
          <w:tcPr>
            <w:tcW w:w="887" w:type="dxa"/>
            <w:noWrap/>
            <w:hideMark/>
          </w:tcPr>
          <w:p w14:paraId="78BB072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2019</w:t>
            </w:r>
          </w:p>
        </w:tc>
        <w:tc>
          <w:tcPr>
            <w:tcW w:w="1134" w:type="dxa"/>
            <w:noWrap/>
            <w:hideMark/>
          </w:tcPr>
          <w:p w14:paraId="3A0EB737"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Index 2019/2004</w:t>
            </w:r>
          </w:p>
        </w:tc>
        <w:tc>
          <w:tcPr>
            <w:tcW w:w="934" w:type="dxa"/>
            <w:noWrap/>
            <w:hideMark/>
          </w:tcPr>
          <w:p w14:paraId="6197949E" w14:textId="0283E2B9"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proofErr w:type="spellStart"/>
            <w:r w:rsidRPr="00427993">
              <w:rPr>
                <w:rFonts w:ascii="Calibri" w:eastAsia="Times New Roman" w:hAnsi="Calibri" w:cs="Calibri"/>
                <w:color w:val="000000"/>
                <w:sz w:val="20"/>
                <w:lang w:eastAsia="cs-CZ"/>
              </w:rPr>
              <w:t>Úroveń</w:t>
            </w:r>
            <w:proofErr w:type="spellEnd"/>
          </w:p>
        </w:tc>
      </w:tr>
      <w:tr w:rsidR="00427993" w:rsidRPr="00427993" w14:paraId="5E88D88E"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83CB22"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Česko</w:t>
            </w:r>
            <w:proofErr w:type="spellEnd"/>
          </w:p>
        </w:tc>
        <w:tc>
          <w:tcPr>
            <w:tcW w:w="984" w:type="dxa"/>
            <w:noWrap/>
            <w:hideMark/>
          </w:tcPr>
          <w:p w14:paraId="5314AE9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1.73</w:t>
            </w:r>
          </w:p>
        </w:tc>
        <w:tc>
          <w:tcPr>
            <w:tcW w:w="858" w:type="dxa"/>
            <w:noWrap/>
            <w:hideMark/>
          </w:tcPr>
          <w:p w14:paraId="5B79DAFF"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2.01</w:t>
            </w:r>
          </w:p>
        </w:tc>
        <w:tc>
          <w:tcPr>
            <w:tcW w:w="1112" w:type="dxa"/>
            <w:noWrap/>
            <w:hideMark/>
          </w:tcPr>
          <w:p w14:paraId="6CD35F2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1.17</w:t>
            </w:r>
          </w:p>
        </w:tc>
        <w:tc>
          <w:tcPr>
            <w:tcW w:w="985" w:type="dxa"/>
            <w:noWrap/>
            <w:hideMark/>
          </w:tcPr>
          <w:p w14:paraId="03F70277"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130.11</w:t>
            </w:r>
          </w:p>
        </w:tc>
        <w:tc>
          <w:tcPr>
            <w:tcW w:w="985" w:type="dxa"/>
            <w:noWrap/>
            <w:hideMark/>
          </w:tcPr>
          <w:p w14:paraId="36263CDD"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16.33</w:t>
            </w:r>
          </w:p>
        </w:tc>
        <w:tc>
          <w:tcPr>
            <w:tcW w:w="887" w:type="dxa"/>
            <w:noWrap/>
            <w:hideMark/>
          </w:tcPr>
          <w:p w14:paraId="73F9B583"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32.69</w:t>
            </w:r>
          </w:p>
        </w:tc>
        <w:tc>
          <w:tcPr>
            <w:tcW w:w="1134" w:type="dxa"/>
            <w:noWrap/>
            <w:hideMark/>
          </w:tcPr>
          <w:p w14:paraId="4DB54A84"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2.00</w:t>
            </w:r>
          </w:p>
        </w:tc>
        <w:tc>
          <w:tcPr>
            <w:tcW w:w="934" w:type="dxa"/>
            <w:noWrap/>
            <w:hideMark/>
          </w:tcPr>
          <w:p w14:paraId="3EF88165"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130.87</w:t>
            </w:r>
          </w:p>
        </w:tc>
      </w:tr>
      <w:tr w:rsidR="00427993" w:rsidRPr="00427993" w14:paraId="6779D6B1"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2E8A9C2"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Maďarsko</w:t>
            </w:r>
            <w:proofErr w:type="spellEnd"/>
          </w:p>
        </w:tc>
        <w:tc>
          <w:tcPr>
            <w:tcW w:w="984" w:type="dxa"/>
            <w:noWrap/>
            <w:hideMark/>
          </w:tcPr>
          <w:p w14:paraId="72C56013"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1.67</w:t>
            </w:r>
          </w:p>
        </w:tc>
        <w:tc>
          <w:tcPr>
            <w:tcW w:w="858" w:type="dxa"/>
            <w:noWrap/>
            <w:hideMark/>
          </w:tcPr>
          <w:p w14:paraId="1903A8A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2.06</w:t>
            </w:r>
          </w:p>
        </w:tc>
        <w:tc>
          <w:tcPr>
            <w:tcW w:w="1112" w:type="dxa"/>
            <w:noWrap/>
            <w:hideMark/>
          </w:tcPr>
          <w:p w14:paraId="3C68AF02"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1.23</w:t>
            </w:r>
          </w:p>
        </w:tc>
        <w:tc>
          <w:tcPr>
            <w:tcW w:w="985" w:type="dxa"/>
            <w:noWrap/>
            <w:hideMark/>
          </w:tcPr>
          <w:p w14:paraId="170EB20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133.21</w:t>
            </w:r>
          </w:p>
        </w:tc>
        <w:tc>
          <w:tcPr>
            <w:tcW w:w="985" w:type="dxa"/>
            <w:noWrap/>
            <w:hideMark/>
          </w:tcPr>
          <w:p w14:paraId="29CF6E6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18.58</w:t>
            </w:r>
          </w:p>
        </w:tc>
        <w:tc>
          <w:tcPr>
            <w:tcW w:w="887" w:type="dxa"/>
            <w:noWrap/>
            <w:hideMark/>
          </w:tcPr>
          <w:p w14:paraId="15CB85C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24.98</w:t>
            </w:r>
          </w:p>
        </w:tc>
        <w:tc>
          <w:tcPr>
            <w:tcW w:w="1134" w:type="dxa"/>
            <w:noWrap/>
            <w:hideMark/>
          </w:tcPr>
          <w:p w14:paraId="3BD77EF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1.34</w:t>
            </w:r>
          </w:p>
        </w:tc>
        <w:tc>
          <w:tcPr>
            <w:tcW w:w="934" w:type="dxa"/>
            <w:noWrap/>
            <w:hideMark/>
          </w:tcPr>
          <w:p w14:paraId="552E2CC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32.51</w:t>
            </w:r>
          </w:p>
        </w:tc>
      </w:tr>
      <w:tr w:rsidR="00427993" w:rsidRPr="00427993" w14:paraId="4AD67595"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82E27CE"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Polsko</w:t>
            </w:r>
            <w:proofErr w:type="spellEnd"/>
          </w:p>
        </w:tc>
        <w:tc>
          <w:tcPr>
            <w:tcW w:w="984" w:type="dxa"/>
            <w:noWrap/>
            <w:hideMark/>
          </w:tcPr>
          <w:p w14:paraId="2DB9EC12"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1.75</w:t>
            </w:r>
          </w:p>
        </w:tc>
        <w:tc>
          <w:tcPr>
            <w:tcW w:w="858" w:type="dxa"/>
            <w:noWrap/>
            <w:hideMark/>
          </w:tcPr>
          <w:p w14:paraId="50A22709"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2.20</w:t>
            </w:r>
          </w:p>
        </w:tc>
        <w:tc>
          <w:tcPr>
            <w:tcW w:w="1112" w:type="dxa"/>
            <w:noWrap/>
            <w:hideMark/>
          </w:tcPr>
          <w:p w14:paraId="77C05C75"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1.26</w:t>
            </w:r>
          </w:p>
        </w:tc>
        <w:tc>
          <w:tcPr>
            <w:tcW w:w="985" w:type="dxa"/>
            <w:noWrap/>
            <w:hideMark/>
          </w:tcPr>
          <w:p w14:paraId="29A7ECB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142.21</w:t>
            </w:r>
          </w:p>
        </w:tc>
        <w:tc>
          <w:tcPr>
            <w:tcW w:w="985" w:type="dxa"/>
            <w:noWrap/>
            <w:hideMark/>
          </w:tcPr>
          <w:p w14:paraId="2A300344"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12.49</w:t>
            </w:r>
          </w:p>
        </w:tc>
        <w:tc>
          <w:tcPr>
            <w:tcW w:w="887" w:type="dxa"/>
            <w:noWrap/>
            <w:hideMark/>
          </w:tcPr>
          <w:p w14:paraId="0EFA0DB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25.81</w:t>
            </w:r>
          </w:p>
        </w:tc>
        <w:tc>
          <w:tcPr>
            <w:tcW w:w="1134" w:type="dxa"/>
            <w:noWrap/>
            <w:hideMark/>
          </w:tcPr>
          <w:p w14:paraId="29EBE57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2.07</w:t>
            </w:r>
          </w:p>
        </w:tc>
        <w:tc>
          <w:tcPr>
            <w:tcW w:w="934" w:type="dxa"/>
            <w:noWrap/>
            <w:hideMark/>
          </w:tcPr>
          <w:p w14:paraId="59CDE4F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33.60</w:t>
            </w:r>
          </w:p>
        </w:tc>
      </w:tr>
      <w:tr w:rsidR="00427993" w:rsidRPr="00427993" w14:paraId="473C3DC9"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69AD66"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Slovensko</w:t>
            </w:r>
            <w:proofErr w:type="spellEnd"/>
          </w:p>
        </w:tc>
        <w:tc>
          <w:tcPr>
            <w:tcW w:w="984" w:type="dxa"/>
            <w:noWrap/>
            <w:hideMark/>
          </w:tcPr>
          <w:p w14:paraId="112DD47C"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2.20</w:t>
            </w:r>
          </w:p>
        </w:tc>
        <w:tc>
          <w:tcPr>
            <w:tcW w:w="858" w:type="dxa"/>
            <w:noWrap/>
            <w:hideMark/>
          </w:tcPr>
          <w:p w14:paraId="263D55E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2.25</w:t>
            </w:r>
          </w:p>
        </w:tc>
        <w:tc>
          <w:tcPr>
            <w:tcW w:w="1112" w:type="dxa"/>
            <w:noWrap/>
            <w:hideMark/>
          </w:tcPr>
          <w:p w14:paraId="1A14D23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1.02</w:t>
            </w:r>
          </w:p>
        </w:tc>
        <w:tc>
          <w:tcPr>
            <w:tcW w:w="985" w:type="dxa"/>
            <w:noWrap/>
            <w:hideMark/>
          </w:tcPr>
          <w:p w14:paraId="2BD0446B"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145.29</w:t>
            </w:r>
          </w:p>
        </w:tc>
        <w:tc>
          <w:tcPr>
            <w:tcW w:w="985" w:type="dxa"/>
            <w:noWrap/>
            <w:hideMark/>
          </w:tcPr>
          <w:p w14:paraId="6FDD938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15.74</w:t>
            </w:r>
          </w:p>
        </w:tc>
        <w:tc>
          <w:tcPr>
            <w:tcW w:w="887" w:type="dxa"/>
            <w:noWrap/>
            <w:hideMark/>
          </w:tcPr>
          <w:p w14:paraId="2272DB3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35.13</w:t>
            </w:r>
          </w:p>
        </w:tc>
        <w:tc>
          <w:tcPr>
            <w:tcW w:w="1134" w:type="dxa"/>
            <w:noWrap/>
            <w:hideMark/>
          </w:tcPr>
          <w:p w14:paraId="2B50E05E"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2.23</w:t>
            </w:r>
          </w:p>
        </w:tc>
        <w:tc>
          <w:tcPr>
            <w:tcW w:w="934" w:type="dxa"/>
            <w:noWrap/>
            <w:hideMark/>
          </w:tcPr>
          <w:p w14:paraId="58BC34A3"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45.73</w:t>
            </w:r>
          </w:p>
        </w:tc>
      </w:tr>
      <w:tr w:rsidR="00427993" w:rsidRPr="00427993" w14:paraId="0307F0AA"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C27057D" w14:textId="77777777" w:rsidR="00427993" w:rsidRPr="00427993" w:rsidRDefault="00427993" w:rsidP="00427993">
            <w:pPr>
              <w:rPr>
                <w:rFonts w:ascii="Calibri" w:eastAsia="Times New Roman" w:hAnsi="Calibri" w:cs="Calibri"/>
                <w:color w:val="000000"/>
                <w:lang w:val="en-GB" w:eastAsia="en-GB"/>
              </w:rPr>
            </w:pPr>
            <w:proofErr w:type="spellStart"/>
            <w:r w:rsidRPr="00427993">
              <w:rPr>
                <w:rFonts w:ascii="Calibri" w:eastAsia="Times New Roman" w:hAnsi="Calibri" w:cs="Calibri"/>
                <w:color w:val="000000"/>
                <w:lang w:val="en-GB" w:eastAsia="en-GB"/>
              </w:rPr>
              <w:t>Německo</w:t>
            </w:r>
            <w:proofErr w:type="spellEnd"/>
          </w:p>
        </w:tc>
        <w:tc>
          <w:tcPr>
            <w:tcW w:w="984" w:type="dxa"/>
            <w:noWrap/>
            <w:hideMark/>
          </w:tcPr>
          <w:p w14:paraId="100A6DA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1.41</w:t>
            </w:r>
          </w:p>
        </w:tc>
        <w:tc>
          <w:tcPr>
            <w:tcW w:w="858" w:type="dxa"/>
            <w:noWrap/>
            <w:hideMark/>
          </w:tcPr>
          <w:p w14:paraId="7B1E0A1E"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1.55</w:t>
            </w:r>
          </w:p>
        </w:tc>
        <w:tc>
          <w:tcPr>
            <w:tcW w:w="1112" w:type="dxa"/>
            <w:noWrap/>
            <w:hideMark/>
          </w:tcPr>
          <w:p w14:paraId="4A77084D"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1.10</w:t>
            </w:r>
          </w:p>
        </w:tc>
        <w:tc>
          <w:tcPr>
            <w:tcW w:w="985" w:type="dxa"/>
            <w:noWrap/>
            <w:hideMark/>
          </w:tcPr>
          <w:p w14:paraId="53863EE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100.00</w:t>
            </w:r>
          </w:p>
        </w:tc>
        <w:tc>
          <w:tcPr>
            <w:tcW w:w="985" w:type="dxa"/>
            <w:noWrap/>
            <w:hideMark/>
          </w:tcPr>
          <w:p w14:paraId="6028D27A"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63.29</w:t>
            </w:r>
          </w:p>
        </w:tc>
        <w:tc>
          <w:tcPr>
            <w:tcW w:w="887" w:type="dxa"/>
            <w:noWrap/>
            <w:hideMark/>
          </w:tcPr>
          <w:p w14:paraId="191F7DFF"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76.83</w:t>
            </w:r>
          </w:p>
        </w:tc>
        <w:tc>
          <w:tcPr>
            <w:tcW w:w="1134" w:type="dxa"/>
            <w:noWrap/>
            <w:hideMark/>
          </w:tcPr>
          <w:p w14:paraId="683153C9"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1.21</w:t>
            </w:r>
          </w:p>
        </w:tc>
        <w:tc>
          <w:tcPr>
            <w:tcW w:w="934" w:type="dxa"/>
            <w:noWrap/>
            <w:hideMark/>
          </w:tcPr>
          <w:p w14:paraId="4768300B"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100.00</w:t>
            </w:r>
          </w:p>
        </w:tc>
      </w:tr>
    </w:tbl>
    <w:p w14:paraId="2E5F212A" w14:textId="77777777" w:rsidR="00427993" w:rsidRDefault="00427993" w:rsidP="00D92761">
      <w:pPr>
        <w:jc w:val="both"/>
      </w:pPr>
    </w:p>
    <w:p w14:paraId="33BC9BC9" w14:textId="77777777" w:rsidR="005A24DB" w:rsidRDefault="005A24DB" w:rsidP="00D92761">
      <w:pPr>
        <w:jc w:val="both"/>
      </w:pPr>
      <w:r>
        <w:t xml:space="preserve">Při srovnání velikostí </w:t>
      </w:r>
      <w:r w:rsidR="00501E75">
        <w:t>produktivity</w:t>
      </w:r>
      <w:r>
        <w:t xml:space="preserve"> k průměru EU viz graf č. X je zřejmé, že jak u  produktivity </w:t>
      </w:r>
      <w:r w:rsidR="007D0360">
        <w:t xml:space="preserve"> práce je ještě velké možnosti ke zlepšení.  Naopak u </w:t>
      </w:r>
      <w:r>
        <w:t>produktivity</w:t>
      </w:r>
      <w:r w:rsidR="007D0360">
        <w:t xml:space="preserve"> kapitálu již některé státy se blíží k průměru EU. Na druhé straně ještě zaostávají za </w:t>
      </w:r>
      <w:r>
        <w:t>průměrem</w:t>
      </w:r>
      <w:r w:rsidR="007D0360">
        <w:t xml:space="preserve"> Německa. </w:t>
      </w:r>
    </w:p>
    <w:p w14:paraId="65B134FA" w14:textId="77777777" w:rsidR="00084F74" w:rsidRDefault="005A24DB" w:rsidP="00D92761">
      <w:pPr>
        <w:jc w:val="both"/>
      </w:pPr>
      <w:r>
        <w:t xml:space="preserve">Graf č. X: Srovnání produktivity práce a kapitálu zemí  V4 k průměru EU </w:t>
      </w:r>
      <w:proofErr w:type="gramStart"/>
      <w:r>
        <w:t>28</w:t>
      </w:r>
      <w:proofErr w:type="gramEnd"/>
      <w:r>
        <w:t xml:space="preserve">  ( </w:t>
      </w:r>
      <w:proofErr w:type="gramStart"/>
      <w:r>
        <w:t>EU</w:t>
      </w:r>
      <w:proofErr w:type="gramEnd"/>
      <w:r>
        <w:t xml:space="preserve"> 28 = 100 %)</w:t>
      </w:r>
      <w:r w:rsidR="007D0360">
        <w:t xml:space="preserve"> </w:t>
      </w:r>
    </w:p>
    <w:p w14:paraId="5A4A352F" w14:textId="77777777" w:rsidR="006B10E7" w:rsidRDefault="00084F74" w:rsidP="00D92761">
      <w:pPr>
        <w:jc w:val="both"/>
      </w:pPr>
      <w:r>
        <w:rPr>
          <w:noProof/>
          <w:lang w:eastAsia="cs-CZ"/>
        </w:rPr>
        <w:drawing>
          <wp:inline distT="0" distB="0" distL="0" distR="0" wp14:anchorId="12280CCE" wp14:editId="6BA8C094">
            <wp:extent cx="5638800" cy="3188970"/>
            <wp:effectExtent l="0" t="0" r="0" b="114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E72829" w14:textId="77777777" w:rsidR="005A24DB" w:rsidRDefault="005A24DB" w:rsidP="00084F74">
      <w:pPr>
        <w:jc w:val="both"/>
      </w:pPr>
    </w:p>
    <w:p w14:paraId="1DFC8FCD" w14:textId="77777777" w:rsidR="00084F74" w:rsidRDefault="005A24DB" w:rsidP="00084F74">
      <w:pPr>
        <w:jc w:val="both"/>
      </w:pPr>
      <w:r>
        <w:t>Mezi další srovnávané ukazatele celková produktivita výrobní faktorů</w:t>
      </w:r>
      <w:r w:rsidR="003023BE">
        <w:t xml:space="preserve"> (TFP)</w:t>
      </w:r>
      <w:r>
        <w:t xml:space="preserve">, která </w:t>
      </w:r>
      <w:r w:rsidR="00084F74">
        <w:t xml:space="preserve">zobrazuje intenzivní zdroje růstu. Následující tabulka č. X nám poskytuje přehled na vývoj TFP v čase, kdy významným faktorem zde je hospodářský cyklus, který ovlivňuje produkční možnosti jednotlivých ekonomik. Uvedená tabulka ukazuje, že u jednotlivých zemí V4 je vývoj nejednoznačný, ale současně ukazuje nízkou velikost ukazatele vybavenosti práce kapitálem oproti Německu či průměru EU 28 </w:t>
      </w:r>
    </w:p>
    <w:p w14:paraId="7D257C51" w14:textId="07B170F0" w:rsidR="00E86FE6" w:rsidRDefault="003023BE" w:rsidP="00D92761">
      <w:pPr>
        <w:jc w:val="both"/>
      </w:pPr>
      <w:r>
        <w:lastRenderedPageBreak/>
        <w:t>Tabulka č. X:  Vývoj TFP a vybavenosti práce kapitálem</w:t>
      </w:r>
      <w:r w:rsidR="00683D92">
        <w:fldChar w:fldCharType="begin"/>
      </w:r>
      <w:r w:rsidR="00683D92">
        <w:instrText xml:space="preserve"> LINK </w:instrText>
      </w:r>
      <w:r w:rsidR="000927C0">
        <w:instrText xml:space="preserve">Excel.Sheet.12 C:\\Users\\homework\\Documents\\Sešitee1.xlsx List1!R50C2:R57C10 </w:instrText>
      </w:r>
      <w:r w:rsidR="00683D92">
        <w:instrText xml:space="preserve">\a \f 4 \h </w:instrText>
      </w:r>
      <w:r w:rsidR="00FF259A">
        <w:instrText xml:space="preserve"> \* MERGEFORMAT </w:instrText>
      </w:r>
      <w:r w:rsidR="00683D92">
        <w:fldChar w:fldCharType="separate"/>
      </w:r>
    </w:p>
    <w:tbl>
      <w:tblPr>
        <w:tblStyle w:val="Tabulkasmkou4zvraznn5"/>
        <w:tblW w:w="8640" w:type="dxa"/>
        <w:tblLook w:val="04A0" w:firstRow="1" w:lastRow="0" w:firstColumn="1" w:lastColumn="0" w:noHBand="0" w:noVBand="1"/>
      </w:tblPr>
      <w:tblGrid>
        <w:gridCol w:w="1217"/>
        <w:gridCol w:w="960"/>
        <w:gridCol w:w="960"/>
        <w:gridCol w:w="960"/>
        <w:gridCol w:w="960"/>
        <w:gridCol w:w="960"/>
        <w:gridCol w:w="960"/>
        <w:gridCol w:w="960"/>
        <w:gridCol w:w="960"/>
      </w:tblGrid>
      <w:tr w:rsidR="00E86FE6" w:rsidRPr="00E86FE6" w14:paraId="77C13482" w14:textId="77777777" w:rsidTr="00FF259A">
        <w:trPr>
          <w:cnfStyle w:val="100000000000" w:firstRow="1" w:lastRow="0" w:firstColumn="0" w:lastColumn="0" w:oddVBand="0" w:evenVBand="0" w:oddHBand="0"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221F2F41" w14:textId="77777777" w:rsidR="00E86FE6" w:rsidRPr="00E86FE6" w:rsidRDefault="00E86FE6" w:rsidP="00E86FE6">
            <w:pPr>
              <w:jc w:val="center"/>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Země </w:t>
            </w:r>
          </w:p>
        </w:tc>
        <w:tc>
          <w:tcPr>
            <w:tcW w:w="3840" w:type="dxa"/>
            <w:gridSpan w:val="4"/>
            <w:noWrap/>
            <w:hideMark/>
          </w:tcPr>
          <w:p w14:paraId="2164A5F5"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TFP</w:t>
            </w:r>
          </w:p>
        </w:tc>
        <w:tc>
          <w:tcPr>
            <w:tcW w:w="3840" w:type="dxa"/>
            <w:gridSpan w:val="4"/>
            <w:noWrap/>
            <w:hideMark/>
          </w:tcPr>
          <w:p w14:paraId="2D3F7D93" w14:textId="77777777" w:rsidR="00E86FE6" w:rsidRPr="00E86FE6" w:rsidRDefault="00FF259A"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Pr>
                <w:rFonts w:ascii="Calibri" w:eastAsia="Times New Roman" w:hAnsi="Calibri" w:cs="Calibri"/>
                <w:color w:val="000000"/>
                <w:lang w:eastAsia="cs-CZ"/>
              </w:rPr>
              <w:t>C-L ratio</w:t>
            </w:r>
          </w:p>
        </w:tc>
      </w:tr>
      <w:tr w:rsidR="00E86FE6" w:rsidRPr="00E86FE6" w14:paraId="4F959844"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vMerge/>
            <w:hideMark/>
          </w:tcPr>
          <w:p w14:paraId="4A0863B3" w14:textId="77777777" w:rsidR="00E86FE6" w:rsidRPr="00E86FE6" w:rsidRDefault="00E86FE6" w:rsidP="00E86FE6">
            <w:pPr>
              <w:rPr>
                <w:rFonts w:ascii="Calibri" w:eastAsia="Times New Roman" w:hAnsi="Calibri" w:cs="Calibri"/>
                <w:color w:val="000000"/>
                <w:lang w:eastAsia="cs-CZ"/>
              </w:rPr>
            </w:pPr>
          </w:p>
        </w:tc>
        <w:tc>
          <w:tcPr>
            <w:tcW w:w="960" w:type="dxa"/>
            <w:noWrap/>
            <w:hideMark/>
          </w:tcPr>
          <w:p w14:paraId="3EE5A94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0B9B440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5E8CE44E"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5E1F6D8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c>
          <w:tcPr>
            <w:tcW w:w="960" w:type="dxa"/>
            <w:noWrap/>
            <w:hideMark/>
          </w:tcPr>
          <w:p w14:paraId="76B9FB81"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57F282C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0D90743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79C682D1"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r>
      <w:tr w:rsidR="00E86FE6" w:rsidRPr="00E86FE6" w14:paraId="31EF36D8"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FF4AC9"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Česko</w:t>
            </w:r>
          </w:p>
        </w:tc>
        <w:tc>
          <w:tcPr>
            <w:tcW w:w="960" w:type="dxa"/>
            <w:noWrap/>
            <w:hideMark/>
          </w:tcPr>
          <w:p w14:paraId="34E4D1F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4956EAFC"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1.05</w:t>
            </w:r>
          </w:p>
        </w:tc>
        <w:tc>
          <w:tcPr>
            <w:tcW w:w="960" w:type="dxa"/>
            <w:noWrap/>
            <w:hideMark/>
          </w:tcPr>
          <w:p w14:paraId="2681969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547C19C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37F56366"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c>
          <w:tcPr>
            <w:tcW w:w="960" w:type="dxa"/>
            <w:noWrap/>
            <w:hideMark/>
          </w:tcPr>
          <w:p w14:paraId="5BF308C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3.77</w:t>
            </w:r>
          </w:p>
        </w:tc>
        <w:tc>
          <w:tcPr>
            <w:tcW w:w="960" w:type="dxa"/>
            <w:noWrap/>
            <w:hideMark/>
          </w:tcPr>
          <w:p w14:paraId="15A5D55A"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3.60</w:t>
            </w:r>
          </w:p>
        </w:tc>
        <w:tc>
          <w:tcPr>
            <w:tcW w:w="960" w:type="dxa"/>
            <w:noWrap/>
            <w:hideMark/>
          </w:tcPr>
          <w:p w14:paraId="15F6A39B"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3.68</w:t>
            </w:r>
          </w:p>
        </w:tc>
      </w:tr>
      <w:tr w:rsidR="00E86FE6" w:rsidRPr="00E86FE6" w14:paraId="470DA2D7"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17C58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Maďarsko</w:t>
            </w:r>
          </w:p>
        </w:tc>
        <w:tc>
          <w:tcPr>
            <w:tcW w:w="960" w:type="dxa"/>
            <w:noWrap/>
            <w:hideMark/>
          </w:tcPr>
          <w:p w14:paraId="4801835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7D187C64"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0.97</w:t>
            </w:r>
          </w:p>
        </w:tc>
        <w:tc>
          <w:tcPr>
            <w:tcW w:w="960" w:type="dxa"/>
            <w:noWrap/>
            <w:hideMark/>
          </w:tcPr>
          <w:p w14:paraId="2F68F5B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1.04</w:t>
            </w:r>
          </w:p>
        </w:tc>
        <w:tc>
          <w:tcPr>
            <w:tcW w:w="960" w:type="dxa"/>
            <w:noWrap/>
            <w:hideMark/>
          </w:tcPr>
          <w:p w14:paraId="68A79B8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106D51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3.85</w:t>
            </w:r>
          </w:p>
        </w:tc>
        <w:tc>
          <w:tcPr>
            <w:tcW w:w="960" w:type="dxa"/>
            <w:noWrap/>
            <w:hideMark/>
          </w:tcPr>
          <w:p w14:paraId="7E2A035C"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3.83</w:t>
            </w:r>
          </w:p>
        </w:tc>
        <w:tc>
          <w:tcPr>
            <w:tcW w:w="960" w:type="dxa"/>
            <w:noWrap/>
            <w:hideMark/>
          </w:tcPr>
          <w:p w14:paraId="2CCFD41D"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2.87</w:t>
            </w:r>
          </w:p>
        </w:tc>
        <w:tc>
          <w:tcPr>
            <w:tcW w:w="960" w:type="dxa"/>
            <w:noWrap/>
            <w:hideMark/>
          </w:tcPr>
          <w:p w14:paraId="3C092CEF"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r>
      <w:tr w:rsidR="00E86FE6" w:rsidRPr="00E86FE6" w14:paraId="3844A319"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2D000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Polsko</w:t>
            </w:r>
          </w:p>
        </w:tc>
        <w:tc>
          <w:tcPr>
            <w:tcW w:w="960" w:type="dxa"/>
            <w:noWrap/>
            <w:hideMark/>
          </w:tcPr>
          <w:p w14:paraId="6666D1ED"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119052BB"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1.13</w:t>
            </w:r>
          </w:p>
        </w:tc>
        <w:tc>
          <w:tcPr>
            <w:tcW w:w="960" w:type="dxa"/>
            <w:noWrap/>
            <w:hideMark/>
          </w:tcPr>
          <w:p w14:paraId="68C29D68"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0.98</w:t>
            </w:r>
          </w:p>
        </w:tc>
        <w:tc>
          <w:tcPr>
            <w:tcW w:w="960" w:type="dxa"/>
            <w:noWrap/>
            <w:hideMark/>
          </w:tcPr>
          <w:p w14:paraId="0D1D97F2"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435AC760"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3.35</w:t>
            </w:r>
          </w:p>
        </w:tc>
        <w:tc>
          <w:tcPr>
            <w:tcW w:w="960" w:type="dxa"/>
            <w:noWrap/>
            <w:hideMark/>
          </w:tcPr>
          <w:p w14:paraId="0C9F8B0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3.96</w:t>
            </w:r>
          </w:p>
        </w:tc>
        <w:tc>
          <w:tcPr>
            <w:tcW w:w="960" w:type="dxa"/>
            <w:noWrap/>
            <w:hideMark/>
          </w:tcPr>
          <w:p w14:paraId="5FA4C376"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4.30</w:t>
            </w:r>
          </w:p>
        </w:tc>
        <w:tc>
          <w:tcPr>
            <w:tcW w:w="960" w:type="dxa"/>
            <w:noWrap/>
            <w:hideMark/>
          </w:tcPr>
          <w:p w14:paraId="4EEB69B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3.73</w:t>
            </w:r>
          </w:p>
        </w:tc>
      </w:tr>
      <w:tr w:rsidR="00E86FE6" w:rsidRPr="00E86FE6" w14:paraId="018D9C87"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31C05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 xml:space="preserve">Slovensko </w:t>
            </w:r>
          </w:p>
        </w:tc>
        <w:tc>
          <w:tcPr>
            <w:tcW w:w="960" w:type="dxa"/>
            <w:noWrap/>
            <w:hideMark/>
          </w:tcPr>
          <w:p w14:paraId="5BAC7D4E"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1.09</w:t>
            </w:r>
          </w:p>
        </w:tc>
        <w:tc>
          <w:tcPr>
            <w:tcW w:w="960" w:type="dxa"/>
            <w:noWrap/>
            <w:hideMark/>
          </w:tcPr>
          <w:p w14:paraId="034FFFE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1.13</w:t>
            </w:r>
          </w:p>
        </w:tc>
        <w:tc>
          <w:tcPr>
            <w:tcW w:w="960" w:type="dxa"/>
            <w:noWrap/>
            <w:hideMark/>
          </w:tcPr>
          <w:p w14:paraId="2F19810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1.19</w:t>
            </w:r>
          </w:p>
        </w:tc>
        <w:tc>
          <w:tcPr>
            <w:tcW w:w="960" w:type="dxa"/>
            <w:noWrap/>
            <w:hideMark/>
          </w:tcPr>
          <w:p w14:paraId="007805A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177C7CF5"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w:t>
            </w:r>
          </w:p>
        </w:tc>
        <w:tc>
          <w:tcPr>
            <w:tcW w:w="960" w:type="dxa"/>
            <w:noWrap/>
            <w:hideMark/>
          </w:tcPr>
          <w:p w14:paraId="1DD26E7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3.40</w:t>
            </w:r>
          </w:p>
        </w:tc>
        <w:tc>
          <w:tcPr>
            <w:tcW w:w="960" w:type="dxa"/>
            <w:noWrap/>
            <w:hideMark/>
          </w:tcPr>
          <w:p w14:paraId="2CE497B2"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4.42</w:t>
            </w:r>
          </w:p>
        </w:tc>
        <w:tc>
          <w:tcPr>
            <w:tcW w:w="960" w:type="dxa"/>
            <w:noWrap/>
            <w:hideMark/>
          </w:tcPr>
          <w:p w14:paraId="589C5C4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4.33</w:t>
            </w:r>
          </w:p>
        </w:tc>
      </w:tr>
      <w:tr w:rsidR="00E86FE6" w:rsidRPr="00E86FE6" w14:paraId="5BE9AE84"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BA98CC"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Německo</w:t>
            </w:r>
          </w:p>
        </w:tc>
        <w:tc>
          <w:tcPr>
            <w:tcW w:w="960" w:type="dxa"/>
            <w:noWrap/>
            <w:hideMark/>
          </w:tcPr>
          <w:p w14:paraId="018494F8"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5653985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0.86</w:t>
            </w:r>
          </w:p>
        </w:tc>
        <w:tc>
          <w:tcPr>
            <w:tcW w:w="960" w:type="dxa"/>
            <w:noWrap/>
            <w:hideMark/>
          </w:tcPr>
          <w:p w14:paraId="60072FA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0EBD288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9C7FE90"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5.27</w:t>
            </w:r>
          </w:p>
        </w:tc>
        <w:tc>
          <w:tcPr>
            <w:tcW w:w="960" w:type="dxa"/>
            <w:noWrap/>
            <w:hideMark/>
          </w:tcPr>
          <w:p w14:paraId="587D8D0A"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4.77</w:t>
            </w:r>
          </w:p>
        </w:tc>
        <w:tc>
          <w:tcPr>
            <w:tcW w:w="960" w:type="dxa"/>
            <w:noWrap/>
            <w:hideMark/>
          </w:tcPr>
          <w:p w14:paraId="63989159"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5.51</w:t>
            </w:r>
          </w:p>
        </w:tc>
        <w:tc>
          <w:tcPr>
            <w:tcW w:w="960" w:type="dxa"/>
            <w:noWrap/>
            <w:hideMark/>
          </w:tcPr>
          <w:p w14:paraId="6F0CDF9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r>
      <w:tr w:rsidR="00E86FE6" w:rsidRPr="00E86FE6" w14:paraId="5D44D064"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D8ED13"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EU 28</w:t>
            </w:r>
          </w:p>
        </w:tc>
        <w:tc>
          <w:tcPr>
            <w:tcW w:w="960" w:type="dxa"/>
            <w:noWrap/>
            <w:hideMark/>
          </w:tcPr>
          <w:p w14:paraId="530BB3B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1.04</w:t>
            </w:r>
          </w:p>
        </w:tc>
        <w:tc>
          <w:tcPr>
            <w:tcW w:w="960" w:type="dxa"/>
            <w:noWrap/>
            <w:hideMark/>
          </w:tcPr>
          <w:p w14:paraId="02F9533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31FA042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1.01</w:t>
            </w:r>
          </w:p>
        </w:tc>
        <w:tc>
          <w:tcPr>
            <w:tcW w:w="960" w:type="dxa"/>
            <w:noWrap/>
            <w:hideMark/>
          </w:tcPr>
          <w:p w14:paraId="5F7E153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301206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4.89</w:t>
            </w:r>
          </w:p>
        </w:tc>
        <w:tc>
          <w:tcPr>
            <w:tcW w:w="960" w:type="dxa"/>
            <w:noWrap/>
            <w:hideMark/>
          </w:tcPr>
          <w:p w14:paraId="5D43AF3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c>
          <w:tcPr>
            <w:tcW w:w="960" w:type="dxa"/>
            <w:noWrap/>
            <w:hideMark/>
          </w:tcPr>
          <w:p w14:paraId="08A658A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4.96</w:t>
            </w:r>
          </w:p>
        </w:tc>
        <w:tc>
          <w:tcPr>
            <w:tcW w:w="960" w:type="dxa"/>
            <w:noWrap/>
            <w:hideMark/>
          </w:tcPr>
          <w:p w14:paraId="70A3F6ED"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4.05</w:t>
            </w:r>
          </w:p>
        </w:tc>
      </w:tr>
    </w:tbl>
    <w:p w14:paraId="28E16022" w14:textId="77777777" w:rsidR="007D1E22" w:rsidRDefault="00683D92" w:rsidP="00D92761">
      <w:pPr>
        <w:jc w:val="both"/>
      </w:pPr>
      <w:r>
        <w:fldChar w:fldCharType="end"/>
      </w:r>
    </w:p>
    <w:p w14:paraId="50B33876" w14:textId="5BBDF09F" w:rsidR="00FF259A" w:rsidRDefault="003023BE" w:rsidP="00D92761">
      <w:pPr>
        <w:jc w:val="both"/>
      </w:pPr>
      <w:proofErr w:type="gramStart"/>
      <w:r>
        <w:t>Dynamika</w:t>
      </w:r>
      <w:r w:rsidR="007D1E22">
        <w:t>,</w:t>
      </w:r>
      <w:r>
        <w:t xml:space="preserve"> nebo</w:t>
      </w:r>
      <w:proofErr w:type="gramEnd"/>
      <w:r>
        <w:t>-</w:t>
      </w:r>
      <w:proofErr w:type="spellStart"/>
      <w:proofErr w:type="gramStart"/>
      <w:r>
        <w:t>li</w:t>
      </w:r>
      <w:proofErr w:type="spellEnd"/>
      <w:proofErr w:type="gramEnd"/>
      <w:r>
        <w:t xml:space="preserve"> tempo růstu ukazatelů zobrazujících vývoj jednotlivých ukazatelů produktivity je zobrazen v následujícím grafu. Vysoké hodnoty u zemí V4 jsou zejména v produktivitě prác</w:t>
      </w:r>
      <w:r w:rsidR="001C6DAA">
        <w:t>e a u TFP.  Zejména Slovensko,</w:t>
      </w:r>
      <w:r>
        <w:t xml:space="preserve"> Česká republika </w:t>
      </w:r>
      <w:r w:rsidR="001C6DAA">
        <w:t xml:space="preserve"> a Polsko převyšuje v růstu Německo a to jak u ukazatelů jednotlivých produktivit, tak i v oblasti vybavenosti práce kapitálem.  </w:t>
      </w:r>
    </w:p>
    <w:p w14:paraId="122F8BA7" w14:textId="79156408" w:rsidR="003023BE" w:rsidRDefault="003023BE" w:rsidP="003023BE">
      <w:pPr>
        <w:jc w:val="both"/>
      </w:pPr>
      <w:r>
        <w:t xml:space="preserve">Graf č. X: Průměrné tempo růstu za sledované období (index)  </w:t>
      </w:r>
      <w:r w:rsidR="001C6DAA">
        <w:t>u vybraných ukazatelů</w:t>
      </w:r>
    </w:p>
    <w:p w14:paraId="450D4CED" w14:textId="77777777" w:rsidR="00B840FB" w:rsidRDefault="00FF259A" w:rsidP="00D92761">
      <w:pPr>
        <w:jc w:val="both"/>
      </w:pPr>
      <w:r>
        <w:rPr>
          <w:noProof/>
          <w:lang w:eastAsia="cs-CZ"/>
        </w:rPr>
        <w:drawing>
          <wp:inline distT="0" distB="0" distL="0" distR="0" wp14:anchorId="366AD5CE" wp14:editId="3B99201F">
            <wp:extent cx="5692140" cy="2743200"/>
            <wp:effectExtent l="0" t="0" r="381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2AD5A3" w14:textId="1C749AF1" w:rsidR="00272854" w:rsidRDefault="00272854" w:rsidP="00D92761">
      <w:pPr>
        <w:jc w:val="both"/>
      </w:pPr>
    </w:p>
    <w:p w14:paraId="4068C054" w14:textId="0DA739E0" w:rsidR="00FB5C7A" w:rsidRDefault="00FB5C7A" w:rsidP="00D92761">
      <w:pPr>
        <w:jc w:val="both"/>
      </w:pPr>
    </w:p>
    <w:p w14:paraId="6363F44E" w14:textId="0CA03B71" w:rsidR="00FB5C7A" w:rsidRDefault="00FB5C7A" w:rsidP="00D92761">
      <w:pPr>
        <w:jc w:val="both"/>
      </w:pPr>
    </w:p>
    <w:p w14:paraId="7A150F20" w14:textId="14F23DDB" w:rsidR="00FB5C7A" w:rsidRDefault="00FB5C7A" w:rsidP="00D92761">
      <w:pPr>
        <w:jc w:val="both"/>
      </w:pPr>
    </w:p>
    <w:p w14:paraId="2C3BBE85" w14:textId="0B08C47E" w:rsidR="00FB5C7A" w:rsidRDefault="00FB5C7A" w:rsidP="00D92761">
      <w:pPr>
        <w:jc w:val="both"/>
      </w:pPr>
    </w:p>
    <w:p w14:paraId="6A66D6E2" w14:textId="064E9663" w:rsidR="00FB5C7A" w:rsidRDefault="00FB5C7A" w:rsidP="00D92761">
      <w:pPr>
        <w:jc w:val="both"/>
      </w:pPr>
    </w:p>
    <w:p w14:paraId="0FEC183A" w14:textId="6F6A2EC0" w:rsidR="00FB5C7A" w:rsidRDefault="00FB5C7A" w:rsidP="00D92761">
      <w:pPr>
        <w:jc w:val="both"/>
      </w:pPr>
    </w:p>
    <w:p w14:paraId="5790791B" w14:textId="5C82D64D" w:rsidR="00FB5C7A" w:rsidRDefault="00FB5C7A" w:rsidP="00D92761">
      <w:pPr>
        <w:jc w:val="both"/>
      </w:pPr>
    </w:p>
    <w:p w14:paraId="72AAEB1B" w14:textId="7149B752" w:rsidR="00272854" w:rsidRPr="00BA0A3F" w:rsidRDefault="001C7B23" w:rsidP="00BA0A3F">
      <w:pPr>
        <w:jc w:val="both"/>
        <w:rPr>
          <w:b/>
        </w:rPr>
      </w:pPr>
      <w:r>
        <w:rPr>
          <w:b/>
        </w:rPr>
        <w:t xml:space="preserve">Zdroje růstu ve zpracovatelském průmyslu v zemích V4 a hospodářský cyklus </w:t>
      </w:r>
    </w:p>
    <w:p w14:paraId="4A638B48" w14:textId="1219CA17" w:rsidR="004801B8" w:rsidRDefault="004801B8" w:rsidP="006512C9">
      <w:pPr>
        <w:jc w:val="both"/>
      </w:pPr>
      <w:r w:rsidRPr="004801B8">
        <w:lastRenderedPageBreak/>
        <w:t xml:space="preserve">Vývoj ekonomik jednotlivých zemí EU není totožný, ale lze předpokládat, že se budou vyvíjet produktivity ve státech se silnou ekonomickou vazbou. Zle tedy očekávat, že v případě ekonomického změny v  dominující ekonomice bude  tato změna mít efekt na ekonomiky, které jsou s ní výrazně provázané například z hlediska zahraničního obchodu.  </w:t>
      </w:r>
    </w:p>
    <w:p w14:paraId="220A5AE7" w14:textId="6C1A5CB5" w:rsidR="00A9136F" w:rsidRDefault="00A9136F" w:rsidP="006512C9">
      <w:pPr>
        <w:jc w:val="both"/>
      </w:pPr>
      <w:r>
        <w:t>Cyklický rozvoj jakékoli ekonomiky je důležitým faktorem ovlivňujícím  nejen dynamiku produktivity, ale také zdroje růstu produktivity</w:t>
      </w:r>
      <w:r w:rsidR="001C7B23">
        <w:t xml:space="preserve"> v zemích V4, </w:t>
      </w:r>
      <w:r>
        <w:t xml:space="preserve"> z</w:t>
      </w:r>
      <w:r w:rsidR="001C7B23">
        <w:t>d</w:t>
      </w:r>
      <w:r>
        <w:t xml:space="preserve">a převažují extenzivní či intenzivní zdroje růstu. Jedním ze současných trendů zejména v nově přistupujících států je zaměřit se na </w:t>
      </w:r>
      <w:r w:rsidR="006512C9">
        <w:t xml:space="preserve"> </w:t>
      </w:r>
      <w:r w:rsidR="001C7B23">
        <w:t>intenzivní</w:t>
      </w:r>
      <w:r w:rsidR="006512C9">
        <w:t xml:space="preserve"> růst</w:t>
      </w:r>
      <w:r>
        <w:t xml:space="preserve">, kdy </w:t>
      </w:r>
      <w:r w:rsidR="006512C9">
        <w:t xml:space="preserve"> základním kamenem dynamického růstu je zvyšování efektivity využívání faktorů produkce - růst produktivity. </w:t>
      </w:r>
    </w:p>
    <w:p w14:paraId="024E1F92" w14:textId="0206CF20" w:rsidR="00A9136F" w:rsidRDefault="00A9136F" w:rsidP="00A9136F">
      <w:pPr>
        <w:jc w:val="both"/>
      </w:pPr>
      <w:r>
        <w:t>Hlav</w:t>
      </w:r>
      <w:r w:rsidR="001C7B23">
        <w:t>n</w:t>
      </w:r>
      <w:r>
        <w:t xml:space="preserve">ím cílem této části je posoudit hlavní zdroje růstu </w:t>
      </w:r>
      <w:r w:rsidR="001C7B23">
        <w:t xml:space="preserve">v průmyslu </w:t>
      </w:r>
      <w:r>
        <w:t xml:space="preserve">ve sledovaných ekonomikách V4 a Německa a posoudit zda hospodářský cyklus Německa má vliv na zdroje růstu v zemích V4. Prvním  </w:t>
      </w:r>
      <w:r w:rsidRPr="006512C9">
        <w:t>krok</w:t>
      </w:r>
      <w:r>
        <w:t>em v analýze</w:t>
      </w:r>
      <w:r w:rsidRPr="006512C9">
        <w:t xml:space="preserve"> </w:t>
      </w:r>
      <w:r>
        <w:t>byla konstrukce</w:t>
      </w:r>
      <w:r w:rsidRPr="006512C9">
        <w:t xml:space="preserve"> intervalů definujících fáze reálného hospodářského cyklu </w:t>
      </w:r>
      <w:r>
        <w:t xml:space="preserve"> viz obrázek č. X. </w:t>
      </w:r>
      <w:r w:rsidRPr="006512C9">
        <w:t>Fáze byly odvozeny z ročního vývoje (růstu) HPH v</w:t>
      </w:r>
      <w:r>
        <w:t xml:space="preserve"> Německu a to z toho důvodu, že cílem bylo </w:t>
      </w:r>
      <w:proofErr w:type="gramStart"/>
      <w:r>
        <w:t>posoudit zda</w:t>
      </w:r>
      <w:proofErr w:type="gramEnd"/>
      <w:r>
        <w:t xml:space="preserve"> dochází k synchronizaci cyklu zemí V4 ve vztahu k Německu. Na tuto synchronizaci mezi „starými“ a „novými</w:t>
      </w:r>
      <w:r w:rsidRPr="006512C9">
        <w:t>“ členských státech EU,</w:t>
      </w:r>
      <w:r>
        <w:t xml:space="preserve"> poukazují ve svém článku</w:t>
      </w:r>
      <w:r w:rsidRPr="006512C9">
        <w:t xml:space="preserve"> </w:t>
      </w:r>
      <w:r>
        <w:t xml:space="preserve"> </w:t>
      </w:r>
      <w:proofErr w:type="spellStart"/>
      <w:r>
        <w:t>Adamowiczh</w:t>
      </w:r>
      <w:proofErr w:type="spellEnd"/>
      <w:r>
        <w:t xml:space="preserve"> a </w:t>
      </w:r>
      <w:proofErr w:type="spellStart"/>
      <w:r>
        <w:t>Walcyk</w:t>
      </w:r>
      <w:proofErr w:type="spellEnd"/>
      <w:r>
        <w:t>, (2011).</w:t>
      </w:r>
    </w:p>
    <w:p w14:paraId="0A1DDABE" w14:textId="77777777" w:rsidR="00A9136F" w:rsidRPr="00FB17FE" w:rsidRDefault="00A9136F" w:rsidP="00A9136F">
      <w:pPr>
        <w:spacing w:after="0" w:line="420" w:lineRule="atLeast"/>
        <w:rPr>
          <w:rFonts w:ascii="Times New Roman" w:eastAsia="Times New Roman" w:hAnsi="Times New Roman" w:cs="Times New Roman"/>
          <w:color w:val="000000"/>
          <w:sz w:val="27"/>
          <w:szCs w:val="27"/>
          <w:lang w:eastAsia="cs-CZ"/>
        </w:rPr>
      </w:pPr>
      <w:r w:rsidRPr="00FB17FE">
        <w:rPr>
          <w:rFonts w:ascii="Times New Roman" w:eastAsia="Times New Roman" w:hAnsi="Times New Roman" w:cs="Times New Roman"/>
          <w:color w:val="000000"/>
          <w:sz w:val="27"/>
          <w:szCs w:val="27"/>
          <w:lang w:eastAsia="cs-CZ"/>
        </w:rPr>
        <w:t>Graf č. X: Tempo růstu hrubé přidané hodnoty v Německu (stálé ceny 2010)</w:t>
      </w:r>
    </w:p>
    <w:p w14:paraId="365D4F11" w14:textId="42444DE5" w:rsidR="00A9136F" w:rsidRDefault="00A9136F" w:rsidP="00A9136F">
      <w:pPr>
        <w:jc w:val="both"/>
      </w:pPr>
      <w:r>
        <w:rPr>
          <w:noProof/>
          <w:lang w:eastAsia="cs-CZ"/>
        </w:rPr>
        <mc:AlternateContent>
          <mc:Choice Requires="wpg">
            <w:drawing>
              <wp:anchor distT="0" distB="0" distL="114300" distR="114300" simplePos="0" relativeHeight="251663360" behindDoc="0" locked="0" layoutInCell="1" allowOverlap="1" wp14:anchorId="7C720865" wp14:editId="3DAD73E8">
                <wp:simplePos x="0" y="0"/>
                <wp:positionH relativeFrom="column">
                  <wp:posOffset>1610437</wp:posOffset>
                </wp:positionH>
                <wp:positionV relativeFrom="paragraph">
                  <wp:posOffset>82611</wp:posOffset>
                </wp:positionV>
                <wp:extent cx="2247900" cy="1348304"/>
                <wp:effectExtent l="0" t="0" r="19050" b="23495"/>
                <wp:wrapNone/>
                <wp:docPr id="50" name="Skupina 50"/>
                <wp:cNvGraphicFramePr/>
                <a:graphic xmlns:a="http://schemas.openxmlformats.org/drawingml/2006/main">
                  <a:graphicData uri="http://schemas.microsoft.com/office/word/2010/wordprocessingGroup">
                    <wpg:wgp>
                      <wpg:cNvGrpSpPr/>
                      <wpg:grpSpPr>
                        <a:xfrm>
                          <a:off x="0" y="0"/>
                          <a:ext cx="2247900" cy="1348304"/>
                          <a:chOff x="11648" y="23296"/>
                          <a:chExt cx="2247900" cy="1348304"/>
                        </a:xfrm>
                      </wpg:grpSpPr>
                      <wps:wsp>
                        <wps:cNvPr id="51" name="Přímá spojnice 51"/>
                        <wps:cNvCnPr/>
                        <wps:spPr>
                          <a:xfrm flipH="1">
                            <a:off x="11648" y="123280"/>
                            <a:ext cx="0" cy="411480"/>
                          </a:xfrm>
                          <a:prstGeom prst="line">
                            <a:avLst/>
                          </a:prstGeom>
                        </wps:spPr>
                        <wps:style>
                          <a:lnRef idx="3">
                            <a:schemeClr val="dk1"/>
                          </a:lnRef>
                          <a:fillRef idx="0">
                            <a:schemeClr val="dk1"/>
                          </a:fillRef>
                          <a:effectRef idx="2">
                            <a:schemeClr val="dk1"/>
                          </a:effectRef>
                          <a:fontRef idx="minor">
                            <a:schemeClr val="tx1"/>
                          </a:fontRef>
                        </wps:style>
                        <wps:bodyPr/>
                      </wps:wsp>
                      <wps:wsp>
                        <wps:cNvPr id="52" name="Přímá spojnice 52"/>
                        <wps:cNvCnPr/>
                        <wps:spPr>
                          <a:xfrm flipH="1">
                            <a:off x="1291808" y="23296"/>
                            <a:ext cx="0" cy="411480"/>
                          </a:xfrm>
                          <a:prstGeom prst="line">
                            <a:avLst/>
                          </a:prstGeom>
                        </wps:spPr>
                        <wps:style>
                          <a:lnRef idx="3">
                            <a:schemeClr val="dk1"/>
                          </a:lnRef>
                          <a:fillRef idx="0">
                            <a:schemeClr val="dk1"/>
                          </a:fillRef>
                          <a:effectRef idx="2">
                            <a:schemeClr val="dk1"/>
                          </a:effectRef>
                          <a:fontRef idx="minor">
                            <a:schemeClr val="tx1"/>
                          </a:fontRef>
                        </wps:style>
                        <wps:bodyPr/>
                      </wps:wsp>
                      <wps:wsp>
                        <wps:cNvPr id="53" name="Přímá spojnice 53"/>
                        <wps:cNvCnPr/>
                        <wps:spPr>
                          <a:xfrm flipH="1">
                            <a:off x="2259548" y="960120"/>
                            <a:ext cx="0" cy="41148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EB629E" id="Skupina 50" o:spid="_x0000_s1026" style="position:absolute;margin-left:126.8pt;margin-top:6.5pt;width:177pt;height:106.15pt;z-index:251663360;mso-width-relative:margin;mso-height-relative:margin" coordorigin="116,232" coordsize="22479,1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">
                <v:line id="Přímá spojnice 51" o:spid="_x0000_s1027" style="position:absolute;flip:x;visibility:visible;mso-wrap-style:square" from="116,1232" to="116,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" strokecolor="black [3200]" strokeweight="1.5pt">
                  <v:stroke joinstyle="miter"/>
                </v:line>
                <v:line id="Přímá spojnice 52" o:spid="_x0000_s1028" style="position:absolute;flip:x;visibility:visible;mso-wrap-style:square" from="12918,232" to="12918,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JIxQAAANsAAAAPAAAAZHJzL2Rvd25yZXYueG1sRI9BawIx&#10;FITvBf9DeEIvpZsoW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CGFHJIxQAAANsAAAAP&#10;AAAAAAAAAAAAAAAAAAcCAABkcnMvZG93bnJldi54bWxQSwUGAAAAAAMAAwC3AAAA+QIAAAAA&#10;" strokecolor="black [3200]" strokeweight="1.5pt">
                  <v:stroke joinstyle="miter"/>
                </v:line>
                <v:line id="Přímá spojnice 53" o:spid="_x0000_s1029" style="position:absolute;flip:x;visibility:visible;mso-wrap-style:square" from="22595,9601" to="2259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" strokecolor="black [3200]" strokeweight="1.5pt">
                  <v:stroke joinstyle="miter"/>
                </v:line>
              </v:group>
            </w:pict>
          </mc:Fallback>
        </mc:AlternateContent>
      </w:r>
      <w:r>
        <w:rPr>
          <w:noProof/>
          <w:lang w:eastAsia="cs-CZ"/>
        </w:rPr>
        <w:drawing>
          <wp:inline distT="0" distB="0" distL="0" distR="0" wp14:anchorId="7D73D57D" wp14:editId="5FD2198A">
            <wp:extent cx="6025515" cy="3589020"/>
            <wp:effectExtent l="0" t="0" r="13335" b="1143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6D1006" w14:textId="457436E8" w:rsidR="001C7B23" w:rsidRDefault="001C7B23" w:rsidP="00A9136F">
      <w:pPr>
        <w:jc w:val="both"/>
      </w:pPr>
      <w:r>
        <w:t>Zdroj: vlastní zpracování</w:t>
      </w:r>
    </w:p>
    <w:p w14:paraId="5CBA2810" w14:textId="77777777" w:rsidR="004D2B20" w:rsidRPr="00BA0A3F" w:rsidRDefault="00BA0A3F"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Z vývoje hrubé přidané hodnoty Německa,</w:t>
      </w:r>
      <w:r w:rsidR="00272854" w:rsidRPr="00BA0A3F">
        <w:rPr>
          <w:rFonts w:ascii="Times New Roman" w:eastAsia="Times New Roman" w:hAnsi="Times New Roman" w:cs="Times New Roman"/>
          <w:color w:val="000000"/>
          <w:sz w:val="24"/>
          <w:szCs w:val="24"/>
          <w:lang w:eastAsia="cs-CZ"/>
        </w:rPr>
        <w:t xml:space="preserve"> je možné identifikovat intervaly,</w:t>
      </w:r>
      <w:r w:rsidR="004D2B20" w:rsidRPr="00BA0A3F">
        <w:rPr>
          <w:rFonts w:ascii="Times New Roman" w:eastAsia="Times New Roman" w:hAnsi="Times New Roman" w:cs="Times New Roman"/>
          <w:color w:val="000000"/>
          <w:sz w:val="24"/>
          <w:szCs w:val="24"/>
          <w:lang w:eastAsia="cs-CZ"/>
        </w:rPr>
        <w:t xml:space="preserve"> podle kterých můžeme shrnout 15 leté období (2004 - 2019</w:t>
      </w:r>
      <w:r w:rsidR="00272854" w:rsidRPr="00BA0A3F">
        <w:rPr>
          <w:rFonts w:ascii="Times New Roman" w:eastAsia="Times New Roman" w:hAnsi="Times New Roman" w:cs="Times New Roman"/>
          <w:color w:val="000000"/>
          <w:sz w:val="24"/>
          <w:szCs w:val="24"/>
          <w:lang w:eastAsia="cs-CZ"/>
        </w:rPr>
        <w:t xml:space="preserve">) do pěti intervalů: </w:t>
      </w:r>
    </w:p>
    <w:p w14:paraId="6C9FC613" w14:textId="77777777" w:rsidR="004D2B20" w:rsidRPr="00BA0A3F" w:rsidRDefault="004D2B20"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Období 2004</w:t>
      </w:r>
      <w:r w:rsidR="00880F8E" w:rsidRPr="00BA0A3F">
        <w:rPr>
          <w:rFonts w:ascii="Times New Roman" w:eastAsia="Times New Roman" w:hAnsi="Times New Roman" w:cs="Times New Roman"/>
          <w:color w:val="000000"/>
          <w:sz w:val="24"/>
          <w:szCs w:val="24"/>
          <w:lang w:eastAsia="cs-CZ"/>
        </w:rPr>
        <w:t xml:space="preserve"> - 2006</w:t>
      </w:r>
      <w:r w:rsidR="00272854" w:rsidRPr="00BA0A3F">
        <w:rPr>
          <w:rFonts w:ascii="Times New Roman" w:eastAsia="Times New Roman" w:hAnsi="Times New Roman" w:cs="Times New Roman"/>
          <w:color w:val="000000"/>
          <w:sz w:val="24"/>
          <w:szCs w:val="24"/>
          <w:lang w:eastAsia="cs-CZ"/>
        </w:rPr>
        <w:t xml:space="preserve"> naznačuje trend opakovaně</w:t>
      </w:r>
      <w:r w:rsidRPr="00BA0A3F">
        <w:rPr>
          <w:rFonts w:ascii="Times New Roman" w:eastAsia="Times New Roman" w:hAnsi="Times New Roman" w:cs="Times New Roman"/>
          <w:color w:val="000000"/>
          <w:sz w:val="24"/>
          <w:szCs w:val="24"/>
          <w:lang w:eastAsia="cs-CZ"/>
        </w:rPr>
        <w:t xml:space="preserve"> se zvyšujícího tempa růstu HPH (období označené jako [1</w:t>
      </w:r>
      <w:r w:rsidR="00272854" w:rsidRPr="00BA0A3F">
        <w:rPr>
          <w:rFonts w:ascii="Times New Roman" w:eastAsia="Times New Roman" w:hAnsi="Times New Roman" w:cs="Times New Roman"/>
          <w:color w:val="000000"/>
          <w:sz w:val="24"/>
          <w:szCs w:val="24"/>
          <w:lang w:eastAsia="cs-CZ"/>
        </w:rPr>
        <w:t>]),</w:t>
      </w:r>
    </w:p>
    <w:p w14:paraId="487EC60E" w14:textId="77777777" w:rsidR="004D2B20" w:rsidRPr="00BA0A3F" w:rsidRDefault="00272854"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 xml:space="preserve"> - Období 2007 - 2009 lze popsat jako prudce se snižující období růstu HPH, přičemž v roce 2009 tempo růstu HPH dosáhlo záporné hodnoty, tj. Tempo růstu v tomto roce bylo nižší než 1, (o</w:t>
      </w:r>
      <w:r w:rsidR="004D2B20" w:rsidRPr="00BA0A3F">
        <w:rPr>
          <w:rFonts w:ascii="Times New Roman" w:eastAsia="Times New Roman" w:hAnsi="Times New Roman" w:cs="Times New Roman"/>
          <w:color w:val="000000"/>
          <w:sz w:val="24"/>
          <w:szCs w:val="24"/>
          <w:lang w:eastAsia="cs-CZ"/>
        </w:rPr>
        <w:t>bdobí označené jako [2</w:t>
      </w:r>
      <w:r w:rsidRPr="00BA0A3F">
        <w:rPr>
          <w:rFonts w:ascii="Times New Roman" w:eastAsia="Times New Roman" w:hAnsi="Times New Roman" w:cs="Times New Roman"/>
          <w:color w:val="000000"/>
          <w:sz w:val="24"/>
          <w:szCs w:val="24"/>
          <w:lang w:eastAsia="cs-CZ"/>
        </w:rPr>
        <w:t xml:space="preserve">]), </w:t>
      </w:r>
    </w:p>
    <w:p w14:paraId="4280EA5E" w14:textId="77777777" w:rsidR="004D2B20" w:rsidRPr="00BA0A3F" w:rsidRDefault="00BA0A3F" w:rsidP="00BA0A3F">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Období 20</w:t>
      </w:r>
      <w:r w:rsidR="00CD5AC9" w:rsidRPr="00BA0A3F">
        <w:rPr>
          <w:rFonts w:ascii="Times New Roman" w:eastAsia="Times New Roman" w:hAnsi="Times New Roman" w:cs="Times New Roman"/>
          <w:color w:val="000000"/>
          <w:sz w:val="24"/>
          <w:szCs w:val="24"/>
          <w:lang w:eastAsia="cs-CZ"/>
        </w:rPr>
        <w:t>10</w:t>
      </w:r>
      <w:r w:rsidR="00272854" w:rsidRPr="00BA0A3F">
        <w:rPr>
          <w:rFonts w:ascii="Times New Roman" w:eastAsia="Times New Roman" w:hAnsi="Times New Roman" w:cs="Times New Roman"/>
          <w:color w:val="000000"/>
          <w:sz w:val="24"/>
          <w:szCs w:val="24"/>
          <w:lang w:eastAsia="cs-CZ"/>
        </w:rPr>
        <w:t xml:space="preserve"> - 2013 Roční míra růstu klesla pod 1 bud nárůstu HPH v tomto období stál</w:t>
      </w:r>
      <w:r w:rsidR="004D2B20" w:rsidRPr="00BA0A3F">
        <w:rPr>
          <w:rFonts w:ascii="Times New Roman" w:eastAsia="Times New Roman" w:hAnsi="Times New Roman" w:cs="Times New Roman"/>
          <w:color w:val="000000"/>
          <w:sz w:val="24"/>
          <w:szCs w:val="24"/>
          <w:lang w:eastAsia="cs-CZ"/>
        </w:rPr>
        <w:t>e klesá (období označené jako [3</w:t>
      </w:r>
      <w:r w:rsidR="00272854" w:rsidRPr="00BA0A3F">
        <w:rPr>
          <w:rFonts w:ascii="Times New Roman" w:eastAsia="Times New Roman" w:hAnsi="Times New Roman" w:cs="Times New Roman"/>
          <w:color w:val="000000"/>
          <w:sz w:val="24"/>
          <w:szCs w:val="24"/>
          <w:lang w:eastAsia="cs-CZ"/>
        </w:rPr>
        <w:t xml:space="preserve">]), </w:t>
      </w:r>
    </w:p>
    <w:p w14:paraId="66ABE579" w14:textId="77777777" w:rsidR="00272854" w:rsidRPr="00BA0A3F" w:rsidRDefault="00CD5AC9"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lastRenderedPageBreak/>
        <w:t>- Období 2014</w:t>
      </w:r>
      <w:r w:rsidR="00272854" w:rsidRPr="00BA0A3F">
        <w:rPr>
          <w:rFonts w:ascii="Times New Roman" w:eastAsia="Times New Roman" w:hAnsi="Times New Roman" w:cs="Times New Roman"/>
          <w:color w:val="000000"/>
          <w:sz w:val="24"/>
          <w:szCs w:val="24"/>
          <w:lang w:eastAsia="cs-CZ"/>
        </w:rPr>
        <w:t xml:space="preserve"> - 201</w:t>
      </w:r>
      <w:r w:rsidR="00FB17FE" w:rsidRPr="00BA0A3F">
        <w:rPr>
          <w:rFonts w:ascii="Times New Roman" w:eastAsia="Times New Roman" w:hAnsi="Times New Roman" w:cs="Times New Roman"/>
          <w:color w:val="000000"/>
          <w:sz w:val="24"/>
          <w:szCs w:val="24"/>
          <w:lang w:eastAsia="cs-CZ"/>
        </w:rPr>
        <w:t>7</w:t>
      </w:r>
      <w:r w:rsidR="00272854" w:rsidRPr="00BA0A3F">
        <w:rPr>
          <w:rFonts w:ascii="Times New Roman" w:eastAsia="Times New Roman" w:hAnsi="Times New Roman" w:cs="Times New Roman"/>
          <w:color w:val="000000"/>
          <w:sz w:val="24"/>
          <w:szCs w:val="24"/>
          <w:lang w:eastAsia="cs-CZ"/>
        </w:rPr>
        <w:t xml:space="preserve"> zvyšující se přírůs</w:t>
      </w:r>
      <w:r w:rsidR="004D2B20" w:rsidRPr="00BA0A3F">
        <w:rPr>
          <w:rFonts w:ascii="Times New Roman" w:eastAsia="Times New Roman" w:hAnsi="Times New Roman" w:cs="Times New Roman"/>
          <w:color w:val="000000"/>
          <w:sz w:val="24"/>
          <w:szCs w:val="24"/>
          <w:lang w:eastAsia="cs-CZ"/>
        </w:rPr>
        <w:t>tky HPH (období označené jako [4</w:t>
      </w:r>
      <w:r w:rsidR="00272854" w:rsidRPr="00BA0A3F">
        <w:rPr>
          <w:rFonts w:ascii="Times New Roman" w:eastAsia="Times New Roman" w:hAnsi="Times New Roman" w:cs="Times New Roman"/>
          <w:color w:val="000000"/>
          <w:sz w:val="24"/>
          <w:szCs w:val="24"/>
          <w:lang w:eastAsia="cs-CZ"/>
        </w:rPr>
        <w:t xml:space="preserve">]). </w:t>
      </w:r>
    </w:p>
    <w:p w14:paraId="6B8F3E2D" w14:textId="77777777" w:rsidR="004D2B20" w:rsidRPr="00BA0A3F" w:rsidRDefault="004D2B20"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 Období 201</w:t>
      </w:r>
      <w:r w:rsidR="00FB17FE" w:rsidRPr="00BA0A3F">
        <w:rPr>
          <w:rFonts w:ascii="Times New Roman" w:eastAsia="Times New Roman" w:hAnsi="Times New Roman" w:cs="Times New Roman"/>
          <w:color w:val="000000"/>
          <w:sz w:val="24"/>
          <w:szCs w:val="24"/>
          <w:lang w:eastAsia="cs-CZ"/>
        </w:rPr>
        <w:t>8</w:t>
      </w:r>
      <w:r w:rsidRPr="00BA0A3F">
        <w:rPr>
          <w:rFonts w:ascii="Times New Roman" w:eastAsia="Times New Roman" w:hAnsi="Times New Roman" w:cs="Times New Roman"/>
          <w:color w:val="000000"/>
          <w:sz w:val="24"/>
          <w:szCs w:val="24"/>
          <w:lang w:eastAsia="cs-CZ"/>
        </w:rPr>
        <w:t xml:space="preserve"> – 2019 období </w:t>
      </w:r>
      <w:r w:rsidR="00FB17FE" w:rsidRPr="00BA0A3F">
        <w:rPr>
          <w:rFonts w:ascii="Times New Roman" w:eastAsia="Times New Roman" w:hAnsi="Times New Roman" w:cs="Times New Roman"/>
          <w:color w:val="000000"/>
          <w:sz w:val="24"/>
          <w:szCs w:val="24"/>
          <w:lang w:eastAsia="cs-CZ"/>
        </w:rPr>
        <w:t>snižující období růstu HPH</w:t>
      </w:r>
      <w:r w:rsidRPr="00BA0A3F">
        <w:rPr>
          <w:rFonts w:ascii="Times New Roman" w:eastAsia="Times New Roman" w:hAnsi="Times New Roman" w:cs="Times New Roman"/>
          <w:color w:val="000000"/>
          <w:sz w:val="24"/>
          <w:szCs w:val="24"/>
          <w:lang w:eastAsia="cs-CZ"/>
        </w:rPr>
        <w:t xml:space="preserve">, </w:t>
      </w:r>
      <w:r w:rsidR="00FB17FE" w:rsidRPr="00BA0A3F">
        <w:rPr>
          <w:rFonts w:ascii="Times New Roman" w:eastAsia="Times New Roman" w:hAnsi="Times New Roman" w:cs="Times New Roman"/>
          <w:color w:val="000000"/>
          <w:sz w:val="24"/>
          <w:szCs w:val="24"/>
          <w:lang w:eastAsia="cs-CZ"/>
        </w:rPr>
        <w:t xml:space="preserve">mírně klesající </w:t>
      </w:r>
      <w:r w:rsidRPr="00BA0A3F">
        <w:rPr>
          <w:rFonts w:ascii="Times New Roman" w:eastAsia="Times New Roman" w:hAnsi="Times New Roman" w:cs="Times New Roman"/>
          <w:color w:val="000000"/>
          <w:sz w:val="24"/>
          <w:szCs w:val="24"/>
          <w:lang w:eastAsia="cs-CZ"/>
        </w:rPr>
        <w:t>přírůstky HDP (období označené jako [5])</w:t>
      </w:r>
    </w:p>
    <w:p w14:paraId="715141C6" w14:textId="77777777" w:rsidR="00880F8E" w:rsidRPr="00BA0A3F" w:rsidRDefault="00880F8E" w:rsidP="00BA0A3F">
      <w:pPr>
        <w:spacing w:after="0" w:line="240" w:lineRule="auto"/>
        <w:rPr>
          <w:rFonts w:ascii="Times New Roman" w:eastAsia="Times New Roman" w:hAnsi="Times New Roman" w:cs="Times New Roman"/>
          <w:color w:val="000000"/>
          <w:sz w:val="24"/>
          <w:szCs w:val="24"/>
          <w:lang w:eastAsia="cs-CZ"/>
        </w:rPr>
      </w:pPr>
    </w:p>
    <w:p w14:paraId="55554BD4" w14:textId="19DF379E" w:rsidR="00BA0A3F" w:rsidRDefault="00BA0A3F" w:rsidP="004801B8">
      <w:pPr>
        <w:spacing w:after="0" w:line="240" w:lineRule="auto"/>
        <w:jc w:val="both"/>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Na základě těchto intervalů bylo v zemích V4 a Německu zhodnoceno, které zdroje růstu v těchto intervalech převažují, tedy zda převažuji intenz</w:t>
      </w:r>
      <w:r>
        <w:rPr>
          <w:rFonts w:ascii="Times New Roman" w:eastAsia="Times New Roman" w:hAnsi="Times New Roman" w:cs="Times New Roman"/>
          <w:color w:val="000000"/>
          <w:sz w:val="24"/>
          <w:szCs w:val="24"/>
          <w:lang w:eastAsia="cs-CZ"/>
        </w:rPr>
        <w:t>ivní či extenzivní zdroje růstu. Následující graf nejprve porovnává růstu celkové produktivity výrobních faktorů za jednotlivé intervaly. Největší rozdíl z pohledu zdrojů růstu je v období velkého ekonomického propadu způsobeného hypoteční krize ve Spojených státech s následným rychlým dopadem na Evropské ekonomiky. Při srovnání ekonomik zemí V4 a Německa v tomto období TFP rostla v zemí V4 oproti tomu v Německu prudce propadla. V dalších intervalech je vývoj velmi podobný ačkoliv na konci sledovaného období zde vidíme opět pru</w:t>
      </w:r>
      <w:r w:rsidR="004801B8">
        <w:rPr>
          <w:rFonts w:ascii="Times New Roman" w:eastAsia="Times New Roman" w:hAnsi="Times New Roman" w:cs="Times New Roman"/>
          <w:color w:val="000000"/>
          <w:sz w:val="24"/>
          <w:szCs w:val="24"/>
          <w:lang w:eastAsia="cs-CZ"/>
        </w:rPr>
        <w:t>d</w:t>
      </w:r>
      <w:r>
        <w:rPr>
          <w:rFonts w:ascii="Times New Roman" w:eastAsia="Times New Roman" w:hAnsi="Times New Roman" w:cs="Times New Roman"/>
          <w:color w:val="000000"/>
          <w:sz w:val="24"/>
          <w:szCs w:val="24"/>
          <w:lang w:eastAsia="cs-CZ"/>
        </w:rPr>
        <w:t xml:space="preserve">ký propad v TFP u Německa. </w:t>
      </w:r>
    </w:p>
    <w:p w14:paraId="23655B47" w14:textId="77777777" w:rsidR="004801B8" w:rsidRDefault="004801B8" w:rsidP="004801B8">
      <w:pPr>
        <w:spacing w:after="0" w:line="240" w:lineRule="auto"/>
        <w:jc w:val="both"/>
      </w:pPr>
    </w:p>
    <w:p w14:paraId="444AEA71" w14:textId="77777777" w:rsidR="00BA0A3F" w:rsidRDefault="00BA0A3F" w:rsidP="00BA0A3F">
      <w:pPr>
        <w:jc w:val="both"/>
      </w:pPr>
      <w:r>
        <w:t xml:space="preserve">Graf č. X: Průměrné roční tempo růstu TFP za jednotlivé intervaly </w:t>
      </w:r>
    </w:p>
    <w:p w14:paraId="0910D682" w14:textId="77777777" w:rsidR="00BA0A3F" w:rsidRDefault="00BA0A3F" w:rsidP="00BA0A3F">
      <w:pPr>
        <w:jc w:val="both"/>
      </w:pPr>
      <w:r>
        <w:rPr>
          <w:noProof/>
          <w:lang w:eastAsia="cs-CZ"/>
        </w:rPr>
        <w:drawing>
          <wp:inline distT="0" distB="0" distL="0" distR="0" wp14:anchorId="1A2AAA29" wp14:editId="71CEB75D">
            <wp:extent cx="5707380" cy="2743200"/>
            <wp:effectExtent l="0" t="0" r="762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01EA74" w14:textId="77777777" w:rsidR="00916215" w:rsidRDefault="00916215" w:rsidP="00BA0A3F">
      <w:pPr>
        <w:spacing w:after="0" w:line="240" w:lineRule="auto"/>
        <w:rPr>
          <w:rFonts w:ascii="Times New Roman" w:eastAsia="Times New Roman" w:hAnsi="Times New Roman" w:cs="Times New Roman"/>
          <w:color w:val="000000"/>
          <w:sz w:val="24"/>
          <w:szCs w:val="24"/>
          <w:lang w:eastAsia="cs-CZ"/>
        </w:rPr>
      </w:pPr>
    </w:p>
    <w:p w14:paraId="3CEA4132" w14:textId="77777777" w:rsidR="00916215" w:rsidRDefault="00916215" w:rsidP="00BA0A3F">
      <w:pPr>
        <w:spacing w:after="0" w:line="240" w:lineRule="auto"/>
        <w:rPr>
          <w:rFonts w:ascii="Times New Roman" w:eastAsia="Times New Roman" w:hAnsi="Times New Roman" w:cs="Times New Roman"/>
          <w:color w:val="000000"/>
          <w:sz w:val="24"/>
          <w:szCs w:val="24"/>
          <w:lang w:eastAsia="cs-CZ"/>
        </w:rPr>
      </w:pPr>
    </w:p>
    <w:p w14:paraId="01D40138" w14:textId="77777777" w:rsidR="00BA0A3F" w:rsidRPr="00BA0A3F" w:rsidRDefault="00916215" w:rsidP="004801B8">
      <w:pPr>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Jaké zdroje růstu </w:t>
      </w:r>
      <w:proofErr w:type="gramStart"/>
      <w:r>
        <w:rPr>
          <w:rFonts w:ascii="Times New Roman" w:eastAsia="Times New Roman" w:hAnsi="Times New Roman" w:cs="Times New Roman"/>
          <w:color w:val="000000"/>
          <w:sz w:val="24"/>
          <w:szCs w:val="24"/>
          <w:lang w:eastAsia="cs-CZ"/>
        </w:rPr>
        <w:t>převažovaly</w:t>
      </w:r>
      <w:proofErr w:type="gramEnd"/>
      <w:r>
        <w:rPr>
          <w:rFonts w:ascii="Times New Roman" w:eastAsia="Times New Roman" w:hAnsi="Times New Roman" w:cs="Times New Roman"/>
          <w:color w:val="000000"/>
          <w:sz w:val="24"/>
          <w:szCs w:val="24"/>
          <w:lang w:eastAsia="cs-CZ"/>
        </w:rPr>
        <w:t xml:space="preserve"> nám </w:t>
      </w:r>
      <w:proofErr w:type="gramStart"/>
      <w:r>
        <w:rPr>
          <w:rFonts w:ascii="Times New Roman" w:eastAsia="Times New Roman" w:hAnsi="Times New Roman" w:cs="Times New Roman"/>
          <w:color w:val="000000"/>
          <w:sz w:val="24"/>
          <w:szCs w:val="24"/>
          <w:lang w:eastAsia="cs-CZ"/>
        </w:rPr>
        <w:t>zobrazují</w:t>
      </w:r>
      <w:proofErr w:type="gramEnd"/>
      <w:r>
        <w:rPr>
          <w:rFonts w:ascii="Times New Roman" w:eastAsia="Times New Roman" w:hAnsi="Times New Roman" w:cs="Times New Roman"/>
          <w:color w:val="000000"/>
          <w:sz w:val="24"/>
          <w:szCs w:val="24"/>
          <w:lang w:eastAsia="cs-CZ"/>
        </w:rPr>
        <w:t xml:space="preserve"> následující dva grafy, které nám poskytují pohled na extenzivní a intenzivní zdroje růstu v jednotlivých obdobích.  Jak v Německu, tak i zemích V4 v posledních dvou sledovaných převažoval extenzivní růst. V ostatních sledovaných intervalech byl vývoj odlišný.</w:t>
      </w:r>
    </w:p>
    <w:p w14:paraId="3D3F83F5" w14:textId="5B809E89" w:rsidR="00647BDA" w:rsidRDefault="00647BDA" w:rsidP="004801B8">
      <w:pPr>
        <w:jc w:val="both"/>
      </w:pPr>
    </w:p>
    <w:p w14:paraId="704EDC5C" w14:textId="1C68B986" w:rsidR="001C6DAA" w:rsidRDefault="001C6DAA" w:rsidP="004801B8">
      <w:pPr>
        <w:jc w:val="both"/>
      </w:pPr>
    </w:p>
    <w:p w14:paraId="78A20625" w14:textId="7AD2A9AE" w:rsidR="001C6DAA" w:rsidRDefault="001C6DAA" w:rsidP="004801B8">
      <w:pPr>
        <w:jc w:val="both"/>
      </w:pPr>
    </w:p>
    <w:p w14:paraId="7EC47C4E" w14:textId="52E1C587" w:rsidR="001C6DAA" w:rsidRDefault="001C6DAA" w:rsidP="004801B8">
      <w:pPr>
        <w:jc w:val="both"/>
      </w:pPr>
    </w:p>
    <w:p w14:paraId="3A63BC5C" w14:textId="1F3DF9FA" w:rsidR="001C6DAA" w:rsidRDefault="001C6DAA" w:rsidP="004801B8">
      <w:pPr>
        <w:jc w:val="both"/>
      </w:pPr>
    </w:p>
    <w:p w14:paraId="27ABBC85" w14:textId="026C05D9" w:rsidR="001C6DAA" w:rsidRDefault="001C6DAA" w:rsidP="004801B8">
      <w:pPr>
        <w:jc w:val="both"/>
      </w:pPr>
    </w:p>
    <w:p w14:paraId="05290CE9" w14:textId="12E0E72B" w:rsidR="001C6DAA" w:rsidRDefault="001C6DAA" w:rsidP="004801B8">
      <w:pPr>
        <w:jc w:val="both"/>
      </w:pPr>
    </w:p>
    <w:p w14:paraId="6EF0242D" w14:textId="26BDD5D9" w:rsidR="001C6DAA" w:rsidRDefault="001C6DAA" w:rsidP="001C6DAA">
      <w:pPr>
        <w:jc w:val="both"/>
      </w:pPr>
      <w:r>
        <w:t xml:space="preserve">Graf č. X: Srovnání vlivu extenzivních zdrojů růstu v ekonomikách V4 a Německu  </w:t>
      </w:r>
    </w:p>
    <w:p w14:paraId="48B613D7" w14:textId="77777777" w:rsidR="00B46D4C" w:rsidRDefault="00B46D4C" w:rsidP="00D92761">
      <w:pPr>
        <w:jc w:val="both"/>
      </w:pPr>
      <w:r>
        <w:rPr>
          <w:noProof/>
          <w:lang w:eastAsia="cs-CZ"/>
        </w:rPr>
        <w:lastRenderedPageBreak/>
        <w:drawing>
          <wp:inline distT="0" distB="0" distL="0" distR="0" wp14:anchorId="225D6E23" wp14:editId="7556F839">
            <wp:extent cx="5654040" cy="2636520"/>
            <wp:effectExtent l="0" t="0" r="3810" b="1143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23F4AD" w14:textId="77777777" w:rsidR="00B46D4C" w:rsidRDefault="00916215" w:rsidP="00D92761">
      <w:pPr>
        <w:jc w:val="both"/>
      </w:pPr>
      <w:r>
        <w:t xml:space="preserve">Druhým zdrojem růstu jsou intenzivní zdroje růstu, které jsou často výrazně ovlivněny technologickým pokrokem v oblasti technologií či zvyšování kvality využívaného lidského kapitálu v podnicích zpracovatelského průmyslu. </w:t>
      </w:r>
      <w:r w:rsidR="00A544F5">
        <w:t xml:space="preserve"> Můžeme zde sledovat velký vliv intenzivního růstu u zemí V4  téměř všech sledovaných intervalech a dokonce i v obdobích velkého ekonomického ochlazení. U Německa je tento vliv pozitivní především v obdobích ekonomického růstu.</w:t>
      </w:r>
    </w:p>
    <w:p w14:paraId="6A9B41B0" w14:textId="77777777" w:rsidR="001C6DAA" w:rsidRDefault="001C6DAA" w:rsidP="001C6DAA">
      <w:pPr>
        <w:jc w:val="both"/>
      </w:pPr>
    </w:p>
    <w:p w14:paraId="029E5D21" w14:textId="10676BB2" w:rsidR="001C6DAA" w:rsidRDefault="001C6DAA" w:rsidP="001C6DAA">
      <w:pPr>
        <w:jc w:val="both"/>
      </w:pPr>
      <w:r>
        <w:t xml:space="preserve">Graf č. X: Srovnání vlivu extenzivních zdrojů růstu v ekonomikách V4 a Německu  </w:t>
      </w:r>
    </w:p>
    <w:p w14:paraId="55BE191D" w14:textId="77777777" w:rsidR="00B46D4C" w:rsidRDefault="00B46D4C" w:rsidP="00D92761">
      <w:pPr>
        <w:jc w:val="both"/>
      </w:pPr>
      <w:r>
        <w:rPr>
          <w:noProof/>
          <w:lang w:eastAsia="cs-CZ"/>
        </w:rPr>
        <w:drawing>
          <wp:inline distT="0" distB="0" distL="0" distR="0" wp14:anchorId="247D95CD" wp14:editId="00E88CF4">
            <wp:extent cx="5654040" cy="2918460"/>
            <wp:effectExtent l="0" t="0" r="3810" b="1524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D64CC4" w14:textId="77777777" w:rsidR="00B46D4C" w:rsidRDefault="00B46D4C" w:rsidP="00D92761">
      <w:pPr>
        <w:jc w:val="both"/>
      </w:pPr>
    </w:p>
    <w:p w14:paraId="504BF63C" w14:textId="77777777" w:rsidR="00647BDA" w:rsidRDefault="00647BDA" w:rsidP="00D92761">
      <w:pPr>
        <w:jc w:val="both"/>
      </w:pPr>
    </w:p>
    <w:p w14:paraId="0D323F88" w14:textId="4F44D0F5" w:rsidR="00647BDA" w:rsidRDefault="00647BDA" w:rsidP="00D92761">
      <w:pPr>
        <w:jc w:val="both"/>
      </w:pPr>
    </w:p>
    <w:p w14:paraId="1E111FCC" w14:textId="77777777" w:rsidR="009948F3" w:rsidRDefault="009948F3" w:rsidP="00D92761">
      <w:pPr>
        <w:jc w:val="both"/>
      </w:pPr>
    </w:p>
    <w:p w14:paraId="6F2AC09F" w14:textId="562C855B" w:rsidR="004801B8" w:rsidRDefault="004801B8" w:rsidP="00D92761">
      <w:pPr>
        <w:jc w:val="both"/>
      </w:pPr>
    </w:p>
    <w:p w14:paraId="53C59A6C" w14:textId="77777777" w:rsidR="003249BD" w:rsidRPr="00273E9E" w:rsidRDefault="003249BD" w:rsidP="00D92761">
      <w:pPr>
        <w:jc w:val="both"/>
        <w:rPr>
          <w:b/>
          <w:bCs/>
        </w:rPr>
      </w:pPr>
      <w:r w:rsidRPr="00273E9E">
        <w:rPr>
          <w:b/>
          <w:bCs/>
        </w:rPr>
        <w:lastRenderedPageBreak/>
        <w:t>Oddíly zpracovatelského průmyslu v zemích V4</w:t>
      </w:r>
    </w:p>
    <w:p w14:paraId="5EC1FA8C" w14:textId="77777777" w:rsidR="00B840FB" w:rsidRDefault="002839F4" w:rsidP="00D92761">
      <w:pPr>
        <w:jc w:val="both"/>
      </w:pPr>
      <w:r>
        <w:t>Další analýz</w:t>
      </w:r>
      <w:r w:rsidR="003249BD">
        <w:t xml:space="preserve">a se bude zabývat jednotlivými oddíly </w:t>
      </w:r>
      <w:r>
        <w:t xml:space="preserve">zpracovatelského průmyslu v zemích V4.  </w:t>
      </w:r>
      <w:r w:rsidR="003249BD">
        <w:t xml:space="preserve">Tak jako předchozí analýza a tato poskytuje pohled na význam jednotlivých </w:t>
      </w:r>
      <w:proofErr w:type="gramStart"/>
      <w:r w:rsidR="003249BD">
        <w:t>oddílech</w:t>
      </w:r>
      <w:proofErr w:type="gramEnd"/>
      <w:r w:rsidR="003249BD">
        <w:t xml:space="preserve"> průmyslu a to zastoupením na tvorbě přidané hodnoty a zastoupením na zaměstnanosti. </w:t>
      </w:r>
      <w:r>
        <w:t>Následující obrázek nám zobrazuje strukturu zpracovatelského průmyslu</w:t>
      </w:r>
      <w:r w:rsidR="003249BD">
        <w:t xml:space="preserve"> v zemích V4, kdy ne</w:t>
      </w:r>
      <w:r>
        <w:t>jv</w:t>
      </w:r>
      <w:r w:rsidR="003249BD">
        <w:t>ět</w:t>
      </w:r>
      <w:r>
        <w:t xml:space="preserve">ším význam z hlediska produkce má výroba motorových vozidel a výroba základních kovů a kovodělných výrobků. </w:t>
      </w:r>
    </w:p>
    <w:p w14:paraId="52B5BA7B" w14:textId="77777777" w:rsidR="00281C82" w:rsidRDefault="00281C82" w:rsidP="00281C82">
      <w:pPr>
        <w:jc w:val="both"/>
      </w:pPr>
      <w:r>
        <w:t>Graf č. X: Struktura tvorby hrubé přidané hodnoty  v zemích V4  dle oddílů průmyslu  v roce 2018</w:t>
      </w:r>
    </w:p>
    <w:p w14:paraId="20BFD08F" w14:textId="77777777" w:rsidR="00B840FB" w:rsidRDefault="00AB39E4" w:rsidP="00D92761">
      <w:pPr>
        <w:jc w:val="both"/>
      </w:pPr>
      <w:r>
        <w:rPr>
          <w:noProof/>
          <w:lang w:eastAsia="cs-CZ"/>
        </w:rPr>
        <w:drawing>
          <wp:inline distT="0" distB="0" distL="0" distR="0" wp14:anchorId="747417F2" wp14:editId="5505FFB6">
            <wp:extent cx="5646420" cy="4199251"/>
            <wp:effectExtent l="0" t="0" r="11430"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B0C98C" w14:textId="581F5D93" w:rsidR="00B840FB" w:rsidRDefault="00273E9E" w:rsidP="00D92761">
      <w:pPr>
        <w:jc w:val="both"/>
      </w:pPr>
      <w:r>
        <w:t xml:space="preserve">Z hlediska </w:t>
      </w:r>
      <w:proofErr w:type="spellStart"/>
      <w:r>
        <w:t>zaměstananosti</w:t>
      </w:r>
      <w:proofErr w:type="spellEnd"/>
      <w:r>
        <w:t xml:space="preserve">  jsou již znatelné určité rozdíly, které vycházejí  z požadavků na pracovní sílu, kdy některé oddíly jsou více či méně pracovně intenzivní. Z následujícího grafu č. X můžeme vidět, že za oddíly s vyšším podílem na zaměstnanosti a nižším podílem na tvorbě hrubé přidané hodnoty patří potravinářský průmysl, dřevozpracující a papírenský průmysl.  Naopak díky automatizaci a robotizaci jsou určité oddíly zpracovatelského průmyslu, které mají nižší podíl na zaměstnanosti jako je například automobilový průmysl.  </w:t>
      </w:r>
    </w:p>
    <w:p w14:paraId="4CC68AD6" w14:textId="622FD5D6" w:rsidR="006A4851" w:rsidRDefault="006A4851" w:rsidP="00D92761">
      <w:pPr>
        <w:jc w:val="both"/>
      </w:pPr>
    </w:p>
    <w:p w14:paraId="602B6216" w14:textId="7B5EBCAE" w:rsidR="00753B30" w:rsidRDefault="00753B30" w:rsidP="00D92761">
      <w:pPr>
        <w:jc w:val="both"/>
      </w:pPr>
    </w:p>
    <w:p w14:paraId="7C79657B" w14:textId="58370CB4" w:rsidR="00753B30" w:rsidRDefault="00753B30" w:rsidP="00D92761">
      <w:pPr>
        <w:jc w:val="both"/>
      </w:pPr>
    </w:p>
    <w:p w14:paraId="52EF3A51" w14:textId="3E9D28F7" w:rsidR="00753B30" w:rsidRDefault="00753B30" w:rsidP="00D92761">
      <w:pPr>
        <w:jc w:val="both"/>
      </w:pPr>
    </w:p>
    <w:p w14:paraId="2E396905" w14:textId="6B7E9DC2" w:rsidR="00753B30" w:rsidRDefault="00753B30" w:rsidP="00D92761">
      <w:pPr>
        <w:jc w:val="both"/>
      </w:pPr>
    </w:p>
    <w:p w14:paraId="73771D79" w14:textId="77777777" w:rsidR="00753B30" w:rsidRDefault="00753B30" w:rsidP="00D92761">
      <w:pPr>
        <w:jc w:val="both"/>
      </w:pPr>
    </w:p>
    <w:p w14:paraId="58E6565C" w14:textId="634B9EF8" w:rsidR="006A4851" w:rsidRDefault="006A4851" w:rsidP="006A4851">
      <w:pPr>
        <w:jc w:val="both"/>
      </w:pPr>
      <w:r>
        <w:lastRenderedPageBreak/>
        <w:t>Graf č. X: Struktura zaměstnanosti  v zemích V4  dle oddílů průmyslu  v roce 2018</w:t>
      </w:r>
    </w:p>
    <w:p w14:paraId="0E310AA1" w14:textId="77777777" w:rsidR="00B840FB" w:rsidRDefault="00440F70" w:rsidP="00D92761">
      <w:pPr>
        <w:jc w:val="both"/>
      </w:pPr>
      <w:r>
        <w:rPr>
          <w:noProof/>
          <w:lang w:eastAsia="cs-CZ"/>
        </w:rPr>
        <w:drawing>
          <wp:inline distT="0" distB="0" distL="0" distR="0" wp14:anchorId="191EDFF6" wp14:editId="6D6EDF9B">
            <wp:extent cx="5760720" cy="3057707"/>
            <wp:effectExtent l="0" t="0" r="1143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718541" w14:textId="2D605A4F" w:rsidR="00993780" w:rsidRDefault="00C84BDA" w:rsidP="00334BA5">
      <w:pPr>
        <w:jc w:val="both"/>
      </w:pPr>
      <w:r>
        <w:t>Jak se změnila struktura jednotlivých průmyslu v zemích V4 zobrazuje následující graf č X. Jde zde zřetelný trend u zvyšování podílu na přidané hodnotě především v oddílech 9-12 zaměřených na strojírenství a výrobou počítačů.</w:t>
      </w:r>
      <w:r w:rsidR="00753B30">
        <w:t xml:space="preserve"> Za pozitivní lze považovat to, že v těchto oddílech sice roste význam i  z pohledu zaměstnanosti, ale růstu z hlediska produkce tento růstu převyšuje. </w:t>
      </w:r>
      <w:r>
        <w:t xml:space="preserve"> Naopak podíl na zaměstnanosti rostl v</w:t>
      </w:r>
      <w:r w:rsidR="00866157">
        <w:t xml:space="preserve"> některých</w:t>
      </w:r>
      <w:r w:rsidR="00753B30">
        <w:t> oborech s výrazně klesajícím podílem na produkci ekonomiky</w:t>
      </w:r>
      <w:r w:rsidR="00866157">
        <w:t xml:space="preserve"> jako je farmaceutický a chemický průmysl</w:t>
      </w:r>
      <w:r w:rsidR="00753B30">
        <w:t>.</w:t>
      </w:r>
      <w:r w:rsidR="00866157">
        <w:t xml:space="preserve">  Význam potravinářského, textilního a dřevozpracujícího průmyslu v čase klesl a to to jak z pohledu tvorby produktu, tak i z pohledu zaměstnanosti, kde tento propad nebyl tak </w:t>
      </w:r>
      <w:proofErr w:type="spellStart"/>
      <w:r w:rsidR="00866157">
        <w:t>markatní</w:t>
      </w:r>
      <w:proofErr w:type="spellEnd"/>
      <w:r w:rsidR="00866157">
        <w:t xml:space="preserve">, což je dáno především charakterem oboru vyžadující větší využití lidské práce. </w:t>
      </w:r>
    </w:p>
    <w:p w14:paraId="16C2BF11" w14:textId="3924DF87" w:rsidR="00753B30" w:rsidRDefault="00753B30" w:rsidP="00753B30">
      <w:pPr>
        <w:jc w:val="both"/>
      </w:pPr>
      <w:r>
        <w:t xml:space="preserve">Graf č. X: </w:t>
      </w:r>
      <w:r w:rsidR="00334BA5">
        <w:t>Změna podílu jednotlivých oddílů průmyslu</w:t>
      </w:r>
      <w:r w:rsidR="000C4B4D">
        <w:t xml:space="preserve"> zemí V4</w:t>
      </w:r>
      <w:r w:rsidR="00334BA5">
        <w:t xml:space="preserve"> na zaměstnanosti a GVA (index 2004/2019)</w:t>
      </w:r>
    </w:p>
    <w:p w14:paraId="77F79D9F" w14:textId="620764C3" w:rsidR="00993780" w:rsidRDefault="00C84BDA" w:rsidP="0009563E">
      <w:r>
        <w:rPr>
          <w:noProof/>
          <w:lang w:eastAsia="cs-CZ"/>
        </w:rPr>
        <w:drawing>
          <wp:inline distT="0" distB="0" distL="0" distR="0" wp14:anchorId="50B16960" wp14:editId="435E92DD">
            <wp:extent cx="5830028" cy="2743200"/>
            <wp:effectExtent l="0" t="0" r="1841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66DF95" w14:textId="4ED5054C" w:rsidR="00993780" w:rsidRPr="00C84BDA" w:rsidRDefault="00753B30" w:rsidP="00753B30">
      <w:pPr>
        <w:jc w:val="both"/>
        <w:rPr>
          <w:sz w:val="20"/>
        </w:rPr>
      </w:pPr>
      <w:r>
        <w:rPr>
          <w:sz w:val="20"/>
        </w:rPr>
        <w:t xml:space="preserve">Poznámka: </w:t>
      </w:r>
      <w:r w:rsidR="00C84BDA" w:rsidRPr="00C84BDA">
        <w:rPr>
          <w:sz w:val="20"/>
        </w:rPr>
        <w:t xml:space="preserve">1 Výroba potravinářských výrobků, 2 Výroba textilu, 3 Výroba dřeva a papíru, 4 Výroba koksu a ropných produktů, 5 Výroba chemikálií a chemických výrobků, 6 Výroba farmaceutických výrobků, 7 Výroba </w:t>
      </w:r>
      <w:r w:rsidR="00C84BDA" w:rsidRPr="00C84BDA">
        <w:rPr>
          <w:sz w:val="20"/>
        </w:rPr>
        <w:lastRenderedPageBreak/>
        <w:t>plastových výrobků, 8 Výroba kovů a kovodělných výrobků, 9 Výroba počítačových výrobků, 10 Výroba elektrických zařízení, 11 Výroba strojů a zařízení, 12 Výroba motorových vozidel, 13 Výroba nábytku</w:t>
      </w:r>
    </w:p>
    <w:p w14:paraId="129C5D07" w14:textId="77777777" w:rsidR="00993780" w:rsidRDefault="00993780" w:rsidP="0009563E"/>
    <w:p w14:paraId="23409D48" w14:textId="088CFB0C" w:rsidR="000C4B4D" w:rsidRDefault="000C4B4D" w:rsidP="000C4B4D">
      <w:pPr>
        <w:jc w:val="both"/>
      </w:pPr>
      <w:r>
        <w:t xml:space="preserve">S ohledem na změnu </w:t>
      </w:r>
      <w:r w:rsidR="00373400">
        <w:t>struktury</w:t>
      </w:r>
      <w:r>
        <w:t xml:space="preserve"> tvorby celkové hrubé </w:t>
      </w:r>
      <w:r w:rsidR="00373400">
        <w:t>přidané</w:t>
      </w:r>
      <w:r>
        <w:t xml:space="preserve"> </w:t>
      </w:r>
      <w:r w:rsidR="00373400">
        <w:t>hodnoty</w:t>
      </w:r>
      <w:r>
        <w:t xml:space="preserve"> v průmyslu a zaměstnanosti v průmyslu je nutné se podívat</w:t>
      </w:r>
      <w:r w:rsidR="00116AC8">
        <w:t>,</w:t>
      </w:r>
      <w:r>
        <w:t xml:space="preserve"> zda tato změna se projevila i v oblasti produktivity práce.  </w:t>
      </w:r>
      <w:r w:rsidR="00373400">
        <w:t>Následující</w:t>
      </w:r>
      <w:r>
        <w:t xml:space="preserve"> tabulka shrnuje výsledky velikosti a úrovně jednotlivých oddílů průmyslu v roce 2004 a 2018. </w:t>
      </w:r>
    </w:p>
    <w:p w14:paraId="56A012DC" w14:textId="510AB7F9" w:rsidR="000C4B4D" w:rsidRDefault="000C4B4D" w:rsidP="000C4B4D">
      <w:pPr>
        <w:jc w:val="both"/>
      </w:pPr>
      <w:r>
        <w:t>Graf č. X: Produktivita práce a její úroveň v zemích V4   (DE = 100 %)</w:t>
      </w:r>
    </w:p>
    <w:tbl>
      <w:tblPr>
        <w:tblStyle w:val="Tabulkasmkou4zvraznn1"/>
        <w:tblW w:w="9203" w:type="dxa"/>
        <w:tblLook w:val="04A0" w:firstRow="1" w:lastRow="0" w:firstColumn="1" w:lastColumn="0" w:noHBand="0" w:noVBand="1"/>
      </w:tblPr>
      <w:tblGrid>
        <w:gridCol w:w="4120"/>
        <w:gridCol w:w="1124"/>
        <w:gridCol w:w="939"/>
        <w:gridCol w:w="793"/>
        <w:gridCol w:w="991"/>
        <w:gridCol w:w="1236"/>
      </w:tblGrid>
      <w:tr w:rsidR="00373400" w:rsidRPr="000C4B4D" w14:paraId="028D2FD2" w14:textId="77777777" w:rsidTr="00116AC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7105FB7D" w14:textId="77777777" w:rsidR="00373400" w:rsidRPr="000C4B4D" w:rsidRDefault="00373400">
            <w:pPr>
              <w:rPr>
                <w:sz w:val="18"/>
              </w:rPr>
            </w:pPr>
            <w:r w:rsidRPr="000C4B4D">
              <w:rPr>
                <w:sz w:val="18"/>
              </w:rPr>
              <w:t> </w:t>
            </w:r>
          </w:p>
        </w:tc>
        <w:tc>
          <w:tcPr>
            <w:tcW w:w="1124" w:type="dxa"/>
            <w:noWrap/>
            <w:hideMark/>
          </w:tcPr>
          <w:p w14:paraId="0D8DE200"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LP 2004</w:t>
            </w:r>
          </w:p>
        </w:tc>
        <w:tc>
          <w:tcPr>
            <w:tcW w:w="939" w:type="dxa"/>
            <w:noWrap/>
            <w:hideMark/>
          </w:tcPr>
          <w:p w14:paraId="08BC20EF" w14:textId="4D5ADE84" w:rsidR="00373400"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Úroveň</w:t>
            </w:r>
          </w:p>
          <w:p w14:paraId="1723C995" w14:textId="36F1C0FF"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Pr>
                <w:sz w:val="18"/>
              </w:rPr>
              <w:t>%</w:t>
            </w:r>
          </w:p>
        </w:tc>
        <w:tc>
          <w:tcPr>
            <w:tcW w:w="793" w:type="dxa"/>
            <w:noWrap/>
            <w:hideMark/>
          </w:tcPr>
          <w:p w14:paraId="52F919B7"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LP 2018</w:t>
            </w:r>
          </w:p>
        </w:tc>
        <w:tc>
          <w:tcPr>
            <w:tcW w:w="991" w:type="dxa"/>
            <w:noWrap/>
            <w:hideMark/>
          </w:tcPr>
          <w:p w14:paraId="395C7159" w14:textId="6D281D1D"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Pr>
                <w:sz w:val="18"/>
              </w:rPr>
              <w:t>Úroveň%</w:t>
            </w:r>
          </w:p>
        </w:tc>
        <w:tc>
          <w:tcPr>
            <w:tcW w:w="1236" w:type="dxa"/>
            <w:noWrap/>
            <w:hideMark/>
          </w:tcPr>
          <w:p w14:paraId="2A754471"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index 2018/2004 LP</w:t>
            </w:r>
          </w:p>
        </w:tc>
      </w:tr>
      <w:tr w:rsidR="00373400" w:rsidRPr="000C4B4D" w14:paraId="6186B882"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7D703146" w14:textId="77777777" w:rsidR="00373400" w:rsidRPr="000C4B4D" w:rsidRDefault="00373400">
            <w:pPr>
              <w:rPr>
                <w:b w:val="0"/>
                <w:sz w:val="18"/>
              </w:rPr>
            </w:pPr>
            <w:r w:rsidRPr="000C4B4D">
              <w:rPr>
                <w:b w:val="0"/>
                <w:sz w:val="18"/>
              </w:rPr>
              <w:t>Výroba potravinářských výrobků</w:t>
            </w:r>
          </w:p>
        </w:tc>
        <w:tc>
          <w:tcPr>
            <w:tcW w:w="1124" w:type="dxa"/>
            <w:noWrap/>
            <w:hideMark/>
          </w:tcPr>
          <w:p w14:paraId="541F4E2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16.21</w:t>
            </w:r>
          </w:p>
        </w:tc>
        <w:tc>
          <w:tcPr>
            <w:tcW w:w="939" w:type="dxa"/>
            <w:noWrap/>
            <w:hideMark/>
          </w:tcPr>
          <w:p w14:paraId="50062B86"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41.60</w:t>
            </w:r>
          </w:p>
        </w:tc>
        <w:tc>
          <w:tcPr>
            <w:tcW w:w="793" w:type="dxa"/>
            <w:noWrap/>
            <w:hideMark/>
          </w:tcPr>
          <w:p w14:paraId="17C0891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21.12</w:t>
            </w:r>
          </w:p>
        </w:tc>
        <w:tc>
          <w:tcPr>
            <w:tcW w:w="991" w:type="dxa"/>
            <w:noWrap/>
            <w:hideMark/>
          </w:tcPr>
          <w:p w14:paraId="5058609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51.56</w:t>
            </w:r>
          </w:p>
        </w:tc>
        <w:tc>
          <w:tcPr>
            <w:tcW w:w="1236" w:type="dxa"/>
            <w:noWrap/>
            <w:hideMark/>
          </w:tcPr>
          <w:p w14:paraId="697F73C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1.30</w:t>
            </w:r>
          </w:p>
        </w:tc>
      </w:tr>
      <w:tr w:rsidR="00373400" w:rsidRPr="000C4B4D" w14:paraId="0A9A99F6"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86139A8" w14:textId="172A21A0" w:rsidR="00373400" w:rsidRPr="000C4B4D" w:rsidRDefault="00373400" w:rsidP="000C4B4D">
            <w:pPr>
              <w:rPr>
                <w:b w:val="0"/>
                <w:sz w:val="18"/>
              </w:rPr>
            </w:pPr>
            <w:r w:rsidRPr="000C4B4D">
              <w:rPr>
                <w:b w:val="0"/>
                <w:sz w:val="18"/>
              </w:rPr>
              <w:t>Výroba textilu</w:t>
            </w:r>
          </w:p>
        </w:tc>
        <w:tc>
          <w:tcPr>
            <w:tcW w:w="1124" w:type="dxa"/>
            <w:noWrap/>
            <w:hideMark/>
          </w:tcPr>
          <w:p w14:paraId="14EDA12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6.68</w:t>
            </w:r>
          </w:p>
        </w:tc>
        <w:tc>
          <w:tcPr>
            <w:tcW w:w="939" w:type="dxa"/>
            <w:noWrap/>
            <w:hideMark/>
          </w:tcPr>
          <w:p w14:paraId="7B4AF9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17.37</w:t>
            </w:r>
          </w:p>
        </w:tc>
        <w:tc>
          <w:tcPr>
            <w:tcW w:w="793" w:type="dxa"/>
            <w:noWrap/>
            <w:hideMark/>
          </w:tcPr>
          <w:p w14:paraId="0660070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12.50</w:t>
            </w:r>
          </w:p>
        </w:tc>
        <w:tc>
          <w:tcPr>
            <w:tcW w:w="991" w:type="dxa"/>
            <w:noWrap/>
            <w:hideMark/>
          </w:tcPr>
          <w:p w14:paraId="2CF94692"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24.02</w:t>
            </w:r>
          </w:p>
        </w:tc>
        <w:tc>
          <w:tcPr>
            <w:tcW w:w="1236" w:type="dxa"/>
            <w:noWrap/>
            <w:hideMark/>
          </w:tcPr>
          <w:p w14:paraId="72151206"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1.87</w:t>
            </w:r>
          </w:p>
        </w:tc>
      </w:tr>
      <w:tr w:rsidR="00373400" w:rsidRPr="000C4B4D" w14:paraId="27B4FF91"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8112205" w14:textId="3D0C5583" w:rsidR="00373400" w:rsidRPr="000C4B4D" w:rsidRDefault="00373400" w:rsidP="000C4B4D">
            <w:pPr>
              <w:rPr>
                <w:b w:val="0"/>
                <w:sz w:val="18"/>
              </w:rPr>
            </w:pPr>
            <w:r w:rsidRPr="000C4B4D">
              <w:rPr>
                <w:b w:val="0"/>
                <w:sz w:val="18"/>
              </w:rPr>
              <w:t>Výroba dřeva a papíru</w:t>
            </w:r>
          </w:p>
        </w:tc>
        <w:tc>
          <w:tcPr>
            <w:tcW w:w="1124" w:type="dxa"/>
            <w:noWrap/>
            <w:hideMark/>
          </w:tcPr>
          <w:p w14:paraId="745307B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12.85</w:t>
            </w:r>
          </w:p>
        </w:tc>
        <w:tc>
          <w:tcPr>
            <w:tcW w:w="939" w:type="dxa"/>
            <w:noWrap/>
            <w:hideMark/>
          </w:tcPr>
          <w:p w14:paraId="305CA30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29.78</w:t>
            </w:r>
          </w:p>
        </w:tc>
        <w:tc>
          <w:tcPr>
            <w:tcW w:w="793" w:type="dxa"/>
            <w:noWrap/>
            <w:hideMark/>
          </w:tcPr>
          <w:p w14:paraId="6CE7BEA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20.15</w:t>
            </w:r>
          </w:p>
        </w:tc>
        <w:tc>
          <w:tcPr>
            <w:tcW w:w="991" w:type="dxa"/>
            <w:noWrap/>
            <w:hideMark/>
          </w:tcPr>
          <w:p w14:paraId="1188F3F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36.26</w:t>
            </w:r>
          </w:p>
        </w:tc>
        <w:tc>
          <w:tcPr>
            <w:tcW w:w="1236" w:type="dxa"/>
            <w:noWrap/>
            <w:hideMark/>
          </w:tcPr>
          <w:p w14:paraId="4E041DAD"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1.57</w:t>
            </w:r>
          </w:p>
        </w:tc>
      </w:tr>
      <w:tr w:rsidR="00373400" w:rsidRPr="000C4B4D" w14:paraId="4948E427"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5BD2FCC" w14:textId="5056CD3B" w:rsidR="00373400" w:rsidRPr="000C4B4D" w:rsidRDefault="00373400" w:rsidP="000C4B4D">
            <w:pPr>
              <w:rPr>
                <w:b w:val="0"/>
                <w:sz w:val="18"/>
              </w:rPr>
            </w:pPr>
            <w:r w:rsidRPr="000C4B4D">
              <w:rPr>
                <w:b w:val="0"/>
                <w:sz w:val="18"/>
              </w:rPr>
              <w:t>Výroba koksu a ropných produktů</w:t>
            </w:r>
          </w:p>
        </w:tc>
        <w:tc>
          <w:tcPr>
            <w:tcW w:w="1124" w:type="dxa"/>
            <w:noWrap/>
            <w:hideMark/>
          </w:tcPr>
          <w:p w14:paraId="25DF81F3"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534.93</w:t>
            </w:r>
          </w:p>
        </w:tc>
        <w:tc>
          <w:tcPr>
            <w:tcW w:w="939" w:type="dxa"/>
            <w:noWrap/>
            <w:hideMark/>
          </w:tcPr>
          <w:p w14:paraId="0A88FCC8"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144.43</w:t>
            </w:r>
          </w:p>
        </w:tc>
        <w:tc>
          <w:tcPr>
            <w:tcW w:w="793" w:type="dxa"/>
            <w:noWrap/>
            <w:hideMark/>
          </w:tcPr>
          <w:p w14:paraId="44562C4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274.16</w:t>
            </w:r>
          </w:p>
        </w:tc>
        <w:tc>
          <w:tcPr>
            <w:tcW w:w="991" w:type="dxa"/>
            <w:noWrap/>
            <w:hideMark/>
          </w:tcPr>
          <w:p w14:paraId="38EE167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250.54</w:t>
            </w:r>
          </w:p>
        </w:tc>
        <w:tc>
          <w:tcPr>
            <w:tcW w:w="1236" w:type="dxa"/>
            <w:noWrap/>
            <w:hideMark/>
          </w:tcPr>
          <w:p w14:paraId="20E05E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0.51</w:t>
            </w:r>
          </w:p>
        </w:tc>
      </w:tr>
      <w:tr w:rsidR="00373400" w:rsidRPr="000C4B4D" w14:paraId="605B62CE"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C659944" w14:textId="77777777" w:rsidR="00373400" w:rsidRPr="000C4B4D" w:rsidRDefault="00373400">
            <w:pPr>
              <w:rPr>
                <w:b w:val="0"/>
                <w:sz w:val="18"/>
              </w:rPr>
            </w:pPr>
            <w:r w:rsidRPr="000C4B4D">
              <w:rPr>
                <w:b w:val="0"/>
                <w:sz w:val="18"/>
              </w:rPr>
              <w:t>Výroba chemikálií a chemických výrobků</w:t>
            </w:r>
          </w:p>
        </w:tc>
        <w:tc>
          <w:tcPr>
            <w:tcW w:w="1124" w:type="dxa"/>
            <w:noWrap/>
            <w:hideMark/>
          </w:tcPr>
          <w:p w14:paraId="30B58B2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33.41</w:t>
            </w:r>
          </w:p>
        </w:tc>
        <w:tc>
          <w:tcPr>
            <w:tcW w:w="939" w:type="dxa"/>
            <w:noWrap/>
            <w:hideMark/>
          </w:tcPr>
          <w:p w14:paraId="3FA88C5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29.95</w:t>
            </w:r>
          </w:p>
        </w:tc>
        <w:tc>
          <w:tcPr>
            <w:tcW w:w="793" w:type="dxa"/>
            <w:noWrap/>
            <w:hideMark/>
          </w:tcPr>
          <w:p w14:paraId="401CEDC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37.56</w:t>
            </w:r>
          </w:p>
        </w:tc>
        <w:tc>
          <w:tcPr>
            <w:tcW w:w="991" w:type="dxa"/>
            <w:noWrap/>
            <w:hideMark/>
          </w:tcPr>
          <w:p w14:paraId="30D9BA2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31.71</w:t>
            </w:r>
          </w:p>
        </w:tc>
        <w:tc>
          <w:tcPr>
            <w:tcW w:w="1236" w:type="dxa"/>
            <w:noWrap/>
            <w:hideMark/>
          </w:tcPr>
          <w:p w14:paraId="2BC7A7D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1.12</w:t>
            </w:r>
          </w:p>
        </w:tc>
      </w:tr>
      <w:tr w:rsidR="00373400" w:rsidRPr="000C4B4D" w14:paraId="3D4731D7"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2CEA6DBA" w14:textId="17E1E9FA" w:rsidR="00373400" w:rsidRPr="000C4B4D" w:rsidRDefault="00373400" w:rsidP="000C4B4D">
            <w:pPr>
              <w:rPr>
                <w:b w:val="0"/>
                <w:sz w:val="18"/>
              </w:rPr>
            </w:pPr>
            <w:r w:rsidRPr="000C4B4D">
              <w:rPr>
                <w:b w:val="0"/>
                <w:sz w:val="18"/>
              </w:rPr>
              <w:t xml:space="preserve">Výroba  farmaceutických výrobků </w:t>
            </w:r>
          </w:p>
        </w:tc>
        <w:tc>
          <w:tcPr>
            <w:tcW w:w="1124" w:type="dxa"/>
            <w:noWrap/>
            <w:hideMark/>
          </w:tcPr>
          <w:p w14:paraId="388039D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35.93</w:t>
            </w:r>
          </w:p>
        </w:tc>
        <w:tc>
          <w:tcPr>
            <w:tcW w:w="939" w:type="dxa"/>
            <w:noWrap/>
            <w:hideMark/>
          </w:tcPr>
          <w:p w14:paraId="2A37823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24.69</w:t>
            </w:r>
          </w:p>
        </w:tc>
        <w:tc>
          <w:tcPr>
            <w:tcW w:w="793" w:type="dxa"/>
            <w:noWrap/>
            <w:hideMark/>
          </w:tcPr>
          <w:p w14:paraId="2E8C1A2E"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48.83</w:t>
            </w:r>
          </w:p>
        </w:tc>
        <w:tc>
          <w:tcPr>
            <w:tcW w:w="991" w:type="dxa"/>
            <w:noWrap/>
            <w:hideMark/>
          </w:tcPr>
          <w:p w14:paraId="4FD51D2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26.60</w:t>
            </w:r>
          </w:p>
        </w:tc>
        <w:tc>
          <w:tcPr>
            <w:tcW w:w="1236" w:type="dxa"/>
            <w:noWrap/>
            <w:hideMark/>
          </w:tcPr>
          <w:p w14:paraId="3DCBE46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1.36</w:t>
            </w:r>
          </w:p>
        </w:tc>
      </w:tr>
      <w:tr w:rsidR="00373400" w:rsidRPr="000C4B4D" w14:paraId="4D22BC77"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F4FC83D" w14:textId="50D9CC4C" w:rsidR="00373400" w:rsidRPr="000C4B4D" w:rsidRDefault="00373400" w:rsidP="000C4B4D">
            <w:pPr>
              <w:rPr>
                <w:b w:val="0"/>
                <w:sz w:val="18"/>
              </w:rPr>
            </w:pPr>
            <w:r w:rsidRPr="000C4B4D">
              <w:rPr>
                <w:b w:val="0"/>
                <w:sz w:val="18"/>
              </w:rPr>
              <w:t>Výroba plastových výrobků</w:t>
            </w:r>
          </w:p>
        </w:tc>
        <w:tc>
          <w:tcPr>
            <w:tcW w:w="1124" w:type="dxa"/>
            <w:noWrap/>
            <w:hideMark/>
          </w:tcPr>
          <w:p w14:paraId="62C1C2C5"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17.90</w:t>
            </w:r>
          </w:p>
        </w:tc>
        <w:tc>
          <w:tcPr>
            <w:tcW w:w="939" w:type="dxa"/>
            <w:noWrap/>
            <w:hideMark/>
          </w:tcPr>
          <w:p w14:paraId="3E59EE16"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33.79</w:t>
            </w:r>
          </w:p>
        </w:tc>
        <w:tc>
          <w:tcPr>
            <w:tcW w:w="793" w:type="dxa"/>
            <w:noWrap/>
            <w:hideMark/>
          </w:tcPr>
          <w:p w14:paraId="1B0F98C3"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34.06</w:t>
            </w:r>
          </w:p>
        </w:tc>
        <w:tc>
          <w:tcPr>
            <w:tcW w:w="991" w:type="dxa"/>
            <w:noWrap/>
            <w:hideMark/>
          </w:tcPr>
          <w:p w14:paraId="4064315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51.21</w:t>
            </w:r>
          </w:p>
        </w:tc>
        <w:tc>
          <w:tcPr>
            <w:tcW w:w="1236" w:type="dxa"/>
            <w:noWrap/>
            <w:hideMark/>
          </w:tcPr>
          <w:p w14:paraId="5EC6329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1.90</w:t>
            </w:r>
          </w:p>
        </w:tc>
      </w:tr>
      <w:tr w:rsidR="00373400" w:rsidRPr="000C4B4D" w14:paraId="3C0EDC59"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48A4EE2E" w14:textId="2A08FA2E" w:rsidR="00373400" w:rsidRPr="000C4B4D" w:rsidRDefault="00373400" w:rsidP="000C4B4D">
            <w:pPr>
              <w:rPr>
                <w:b w:val="0"/>
                <w:sz w:val="18"/>
              </w:rPr>
            </w:pPr>
            <w:r w:rsidRPr="000C4B4D">
              <w:rPr>
                <w:b w:val="0"/>
                <w:sz w:val="18"/>
              </w:rPr>
              <w:t>Výroba kovů a kovodělných výrobků</w:t>
            </w:r>
          </w:p>
        </w:tc>
        <w:tc>
          <w:tcPr>
            <w:tcW w:w="1124" w:type="dxa"/>
            <w:noWrap/>
            <w:hideMark/>
          </w:tcPr>
          <w:p w14:paraId="7A52497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20.89</w:t>
            </w:r>
          </w:p>
        </w:tc>
        <w:tc>
          <w:tcPr>
            <w:tcW w:w="939" w:type="dxa"/>
            <w:noWrap/>
            <w:hideMark/>
          </w:tcPr>
          <w:p w14:paraId="41D8D2D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36.55</w:t>
            </w:r>
          </w:p>
        </w:tc>
        <w:tc>
          <w:tcPr>
            <w:tcW w:w="793" w:type="dxa"/>
            <w:noWrap/>
            <w:hideMark/>
          </w:tcPr>
          <w:p w14:paraId="361C502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26.98</w:t>
            </w:r>
          </w:p>
        </w:tc>
        <w:tc>
          <w:tcPr>
            <w:tcW w:w="991" w:type="dxa"/>
            <w:noWrap/>
            <w:hideMark/>
          </w:tcPr>
          <w:p w14:paraId="773BB2C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42.97</w:t>
            </w:r>
          </w:p>
        </w:tc>
        <w:tc>
          <w:tcPr>
            <w:tcW w:w="1236" w:type="dxa"/>
            <w:noWrap/>
            <w:hideMark/>
          </w:tcPr>
          <w:p w14:paraId="484712A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1.29</w:t>
            </w:r>
          </w:p>
        </w:tc>
      </w:tr>
      <w:tr w:rsidR="00373400" w:rsidRPr="000C4B4D" w14:paraId="1FF174B6"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21282251" w14:textId="6B4096DF" w:rsidR="00373400" w:rsidRPr="000C4B4D" w:rsidRDefault="00373400" w:rsidP="000C4B4D">
            <w:pPr>
              <w:rPr>
                <w:b w:val="0"/>
                <w:sz w:val="18"/>
              </w:rPr>
            </w:pPr>
            <w:r w:rsidRPr="000C4B4D">
              <w:rPr>
                <w:b w:val="0"/>
                <w:sz w:val="18"/>
              </w:rPr>
              <w:t>Výroba počítačových výrobků</w:t>
            </w:r>
          </w:p>
        </w:tc>
        <w:tc>
          <w:tcPr>
            <w:tcW w:w="1124" w:type="dxa"/>
            <w:noWrap/>
            <w:hideMark/>
          </w:tcPr>
          <w:p w14:paraId="1BB94B0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8.74</w:t>
            </w:r>
          </w:p>
        </w:tc>
        <w:tc>
          <w:tcPr>
            <w:tcW w:w="939" w:type="dxa"/>
            <w:noWrap/>
            <w:hideMark/>
          </w:tcPr>
          <w:p w14:paraId="2E811275"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15.85</w:t>
            </w:r>
          </w:p>
        </w:tc>
        <w:tc>
          <w:tcPr>
            <w:tcW w:w="793" w:type="dxa"/>
            <w:noWrap/>
            <w:hideMark/>
          </w:tcPr>
          <w:p w14:paraId="28ADD917"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40.21</w:t>
            </w:r>
          </w:p>
        </w:tc>
        <w:tc>
          <w:tcPr>
            <w:tcW w:w="991" w:type="dxa"/>
            <w:noWrap/>
            <w:hideMark/>
          </w:tcPr>
          <w:p w14:paraId="306DFEE1"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31.31</w:t>
            </w:r>
          </w:p>
        </w:tc>
        <w:tc>
          <w:tcPr>
            <w:tcW w:w="1236" w:type="dxa"/>
            <w:noWrap/>
            <w:hideMark/>
          </w:tcPr>
          <w:p w14:paraId="06D7C81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4.60</w:t>
            </w:r>
          </w:p>
        </w:tc>
      </w:tr>
      <w:tr w:rsidR="00373400" w:rsidRPr="000C4B4D" w14:paraId="26273A45"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D173786" w14:textId="77777777" w:rsidR="00373400" w:rsidRPr="000C4B4D" w:rsidRDefault="00373400">
            <w:pPr>
              <w:rPr>
                <w:b w:val="0"/>
                <w:sz w:val="18"/>
              </w:rPr>
            </w:pPr>
            <w:r w:rsidRPr="000C4B4D">
              <w:rPr>
                <w:b w:val="0"/>
                <w:sz w:val="18"/>
              </w:rPr>
              <w:t>Výroba elektrických zařízení</w:t>
            </w:r>
          </w:p>
        </w:tc>
        <w:tc>
          <w:tcPr>
            <w:tcW w:w="1124" w:type="dxa"/>
            <w:noWrap/>
            <w:hideMark/>
          </w:tcPr>
          <w:p w14:paraId="4EB9B52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14.50</w:t>
            </w:r>
          </w:p>
        </w:tc>
        <w:tc>
          <w:tcPr>
            <w:tcW w:w="939" w:type="dxa"/>
            <w:noWrap/>
            <w:hideMark/>
          </w:tcPr>
          <w:p w14:paraId="45671F63"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19.23</w:t>
            </w:r>
          </w:p>
        </w:tc>
        <w:tc>
          <w:tcPr>
            <w:tcW w:w="793" w:type="dxa"/>
            <w:noWrap/>
            <w:hideMark/>
          </w:tcPr>
          <w:p w14:paraId="202BF5BA"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30.31</w:t>
            </w:r>
          </w:p>
        </w:tc>
        <w:tc>
          <w:tcPr>
            <w:tcW w:w="991" w:type="dxa"/>
            <w:noWrap/>
            <w:hideMark/>
          </w:tcPr>
          <w:p w14:paraId="517EB57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37.37</w:t>
            </w:r>
          </w:p>
        </w:tc>
        <w:tc>
          <w:tcPr>
            <w:tcW w:w="1236" w:type="dxa"/>
            <w:noWrap/>
            <w:hideMark/>
          </w:tcPr>
          <w:p w14:paraId="0504685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2.09</w:t>
            </w:r>
          </w:p>
        </w:tc>
      </w:tr>
      <w:tr w:rsidR="00373400" w:rsidRPr="000C4B4D" w14:paraId="44DD8896"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49F33711" w14:textId="77777777" w:rsidR="00373400" w:rsidRPr="000C4B4D" w:rsidRDefault="00373400">
            <w:pPr>
              <w:rPr>
                <w:b w:val="0"/>
                <w:sz w:val="18"/>
              </w:rPr>
            </w:pPr>
            <w:r w:rsidRPr="000C4B4D">
              <w:rPr>
                <w:b w:val="0"/>
                <w:sz w:val="18"/>
              </w:rPr>
              <w:t>Výroba strojů a zařízení </w:t>
            </w:r>
          </w:p>
        </w:tc>
        <w:tc>
          <w:tcPr>
            <w:tcW w:w="1124" w:type="dxa"/>
            <w:noWrap/>
            <w:hideMark/>
          </w:tcPr>
          <w:p w14:paraId="12946464"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13.98</w:t>
            </w:r>
          </w:p>
        </w:tc>
        <w:tc>
          <w:tcPr>
            <w:tcW w:w="939" w:type="dxa"/>
            <w:noWrap/>
            <w:hideMark/>
          </w:tcPr>
          <w:p w14:paraId="61DC024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17.77</w:t>
            </w:r>
          </w:p>
        </w:tc>
        <w:tc>
          <w:tcPr>
            <w:tcW w:w="793" w:type="dxa"/>
            <w:noWrap/>
            <w:hideMark/>
          </w:tcPr>
          <w:p w14:paraId="50514A1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24.94</w:t>
            </w:r>
          </w:p>
        </w:tc>
        <w:tc>
          <w:tcPr>
            <w:tcW w:w="991" w:type="dxa"/>
            <w:noWrap/>
            <w:hideMark/>
          </w:tcPr>
          <w:p w14:paraId="599459CD"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32.70</w:t>
            </w:r>
          </w:p>
        </w:tc>
        <w:tc>
          <w:tcPr>
            <w:tcW w:w="1236" w:type="dxa"/>
            <w:noWrap/>
            <w:hideMark/>
          </w:tcPr>
          <w:p w14:paraId="2B45FA9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1.78</w:t>
            </w:r>
          </w:p>
        </w:tc>
      </w:tr>
      <w:tr w:rsidR="00373400" w:rsidRPr="000C4B4D" w14:paraId="4F1B0BC9"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1CDC447" w14:textId="03A80ADC" w:rsidR="00373400" w:rsidRPr="000C4B4D" w:rsidRDefault="00373400">
            <w:pPr>
              <w:rPr>
                <w:b w:val="0"/>
                <w:sz w:val="18"/>
              </w:rPr>
            </w:pPr>
            <w:r w:rsidRPr="000C4B4D">
              <w:rPr>
                <w:b w:val="0"/>
                <w:sz w:val="18"/>
              </w:rPr>
              <w:t>Výroba motorových vozidel</w:t>
            </w:r>
          </w:p>
        </w:tc>
        <w:tc>
          <w:tcPr>
            <w:tcW w:w="1124" w:type="dxa"/>
            <w:noWrap/>
            <w:hideMark/>
          </w:tcPr>
          <w:p w14:paraId="4DEF8CD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21.90</w:t>
            </w:r>
          </w:p>
        </w:tc>
        <w:tc>
          <w:tcPr>
            <w:tcW w:w="939" w:type="dxa"/>
            <w:noWrap/>
            <w:hideMark/>
          </w:tcPr>
          <w:p w14:paraId="79FB0506"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27.37</w:t>
            </w:r>
          </w:p>
        </w:tc>
        <w:tc>
          <w:tcPr>
            <w:tcW w:w="793" w:type="dxa"/>
            <w:noWrap/>
            <w:hideMark/>
          </w:tcPr>
          <w:p w14:paraId="2DFC9DC2"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38.94</w:t>
            </w:r>
          </w:p>
        </w:tc>
        <w:tc>
          <w:tcPr>
            <w:tcW w:w="991" w:type="dxa"/>
            <w:noWrap/>
            <w:hideMark/>
          </w:tcPr>
          <w:p w14:paraId="4F3CE89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28.83</w:t>
            </w:r>
          </w:p>
        </w:tc>
        <w:tc>
          <w:tcPr>
            <w:tcW w:w="1236" w:type="dxa"/>
            <w:noWrap/>
            <w:hideMark/>
          </w:tcPr>
          <w:p w14:paraId="6EB34C1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1.78</w:t>
            </w:r>
          </w:p>
        </w:tc>
      </w:tr>
      <w:tr w:rsidR="00373400" w:rsidRPr="000C4B4D" w14:paraId="290F979B"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5BA0080B" w14:textId="77777777" w:rsidR="00373400" w:rsidRPr="000C4B4D" w:rsidRDefault="00373400">
            <w:pPr>
              <w:rPr>
                <w:b w:val="0"/>
                <w:sz w:val="18"/>
              </w:rPr>
            </w:pPr>
            <w:r w:rsidRPr="000C4B4D">
              <w:rPr>
                <w:b w:val="0"/>
                <w:sz w:val="18"/>
              </w:rPr>
              <w:t>Výroba nábytku</w:t>
            </w:r>
          </w:p>
        </w:tc>
        <w:tc>
          <w:tcPr>
            <w:tcW w:w="1124" w:type="dxa"/>
            <w:noWrap/>
            <w:hideMark/>
          </w:tcPr>
          <w:p w14:paraId="256168A9"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13.07</w:t>
            </w:r>
          </w:p>
        </w:tc>
        <w:tc>
          <w:tcPr>
            <w:tcW w:w="939" w:type="dxa"/>
            <w:noWrap/>
            <w:hideMark/>
          </w:tcPr>
          <w:p w14:paraId="24F8ECF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26.09</w:t>
            </w:r>
          </w:p>
        </w:tc>
        <w:tc>
          <w:tcPr>
            <w:tcW w:w="793" w:type="dxa"/>
            <w:noWrap/>
            <w:hideMark/>
          </w:tcPr>
          <w:p w14:paraId="7CA89EB1"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19.15</w:t>
            </w:r>
          </w:p>
        </w:tc>
        <w:tc>
          <w:tcPr>
            <w:tcW w:w="991" w:type="dxa"/>
            <w:noWrap/>
            <w:hideMark/>
          </w:tcPr>
          <w:p w14:paraId="6BDCE50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36.89</w:t>
            </w:r>
          </w:p>
        </w:tc>
        <w:tc>
          <w:tcPr>
            <w:tcW w:w="1236" w:type="dxa"/>
            <w:noWrap/>
            <w:hideMark/>
          </w:tcPr>
          <w:p w14:paraId="144A6F8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1.47</w:t>
            </w:r>
          </w:p>
        </w:tc>
      </w:tr>
      <w:tr w:rsidR="00373400" w:rsidRPr="000C4B4D" w14:paraId="0962E6C1"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5637E435" w14:textId="77777777" w:rsidR="00373400" w:rsidRPr="000C4B4D" w:rsidRDefault="00373400">
            <w:pPr>
              <w:rPr>
                <w:b w:val="0"/>
                <w:sz w:val="18"/>
              </w:rPr>
            </w:pPr>
            <w:r w:rsidRPr="000C4B4D">
              <w:rPr>
                <w:b w:val="0"/>
                <w:sz w:val="18"/>
              </w:rPr>
              <w:t>Celkem</w:t>
            </w:r>
          </w:p>
        </w:tc>
        <w:tc>
          <w:tcPr>
            <w:tcW w:w="1124" w:type="dxa"/>
            <w:noWrap/>
            <w:hideMark/>
          </w:tcPr>
          <w:p w14:paraId="393AA95C"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15.78</w:t>
            </w:r>
          </w:p>
        </w:tc>
        <w:tc>
          <w:tcPr>
            <w:tcW w:w="939" w:type="dxa"/>
            <w:noWrap/>
            <w:hideMark/>
          </w:tcPr>
          <w:p w14:paraId="1A7FFBA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24.94</w:t>
            </w:r>
          </w:p>
        </w:tc>
        <w:tc>
          <w:tcPr>
            <w:tcW w:w="793" w:type="dxa"/>
            <w:noWrap/>
            <w:hideMark/>
          </w:tcPr>
          <w:p w14:paraId="3AE6D9B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28.79</w:t>
            </w:r>
          </w:p>
        </w:tc>
        <w:tc>
          <w:tcPr>
            <w:tcW w:w="991" w:type="dxa"/>
            <w:noWrap/>
            <w:hideMark/>
          </w:tcPr>
          <w:p w14:paraId="453C02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36.00</w:t>
            </w:r>
          </w:p>
        </w:tc>
        <w:tc>
          <w:tcPr>
            <w:tcW w:w="1236" w:type="dxa"/>
            <w:noWrap/>
            <w:hideMark/>
          </w:tcPr>
          <w:p w14:paraId="2A461AD8"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1.82</w:t>
            </w:r>
          </w:p>
        </w:tc>
      </w:tr>
    </w:tbl>
    <w:p w14:paraId="5B64DB9F" w14:textId="474A39C1" w:rsidR="00334BA5" w:rsidRDefault="00334BA5" w:rsidP="0009563E">
      <w:pPr>
        <w:rPr>
          <w:b/>
        </w:rPr>
      </w:pPr>
    </w:p>
    <w:p w14:paraId="2387B941" w14:textId="77777777" w:rsidR="00D45206" w:rsidRDefault="00D45206" w:rsidP="00D45206">
      <w:pPr>
        <w:jc w:val="both"/>
      </w:pPr>
      <w:r>
        <w:t xml:space="preserve">Ve všech sledovaných oddílech průmyslu produktivita práce vzrostla, kdy  nejvyšší pozitivní změny v oblasti produktivity práce byla zaznamenána ve výrobě textilu a produkci počítačových výrobků a elektrických zařízení.  Naopak podprůměrný růst byl zaznamenán v chemickém a farmaceutickém průmyslu. </w:t>
      </w:r>
    </w:p>
    <w:p w14:paraId="1FD6862A" w14:textId="03E5B594" w:rsidR="00373400" w:rsidRDefault="00373400" w:rsidP="0009563E">
      <w:pPr>
        <w:rPr>
          <w:b/>
        </w:rPr>
      </w:pPr>
    </w:p>
    <w:p w14:paraId="1E73AAB6" w14:textId="5668C795" w:rsidR="00373400" w:rsidRDefault="00373400" w:rsidP="0009563E">
      <w:pPr>
        <w:rPr>
          <w:b/>
        </w:rPr>
      </w:pPr>
    </w:p>
    <w:p w14:paraId="0CBD7334" w14:textId="5AF93DB9" w:rsidR="00373400" w:rsidRDefault="00373400" w:rsidP="0009563E">
      <w:pPr>
        <w:rPr>
          <w:b/>
        </w:rPr>
      </w:pPr>
    </w:p>
    <w:p w14:paraId="26C1C603" w14:textId="72D638D4" w:rsidR="00373400" w:rsidRDefault="00373400" w:rsidP="0009563E">
      <w:pPr>
        <w:rPr>
          <w:b/>
        </w:rPr>
      </w:pPr>
    </w:p>
    <w:p w14:paraId="1F4F11C2" w14:textId="3768F2F4" w:rsidR="00373400" w:rsidRDefault="00373400" w:rsidP="0009563E">
      <w:pPr>
        <w:rPr>
          <w:b/>
        </w:rPr>
      </w:pPr>
    </w:p>
    <w:p w14:paraId="503D4C50" w14:textId="5AA57273" w:rsidR="00373400" w:rsidRDefault="00373400" w:rsidP="0009563E">
      <w:pPr>
        <w:rPr>
          <w:b/>
        </w:rPr>
      </w:pPr>
    </w:p>
    <w:p w14:paraId="18249A5E" w14:textId="4F42D3E6" w:rsidR="00373400" w:rsidRDefault="00373400" w:rsidP="0009563E">
      <w:pPr>
        <w:rPr>
          <w:b/>
        </w:rPr>
      </w:pPr>
    </w:p>
    <w:p w14:paraId="51C810E5" w14:textId="033D0214" w:rsidR="00373400" w:rsidRDefault="00373400" w:rsidP="0009563E">
      <w:pPr>
        <w:rPr>
          <w:b/>
        </w:rPr>
      </w:pPr>
    </w:p>
    <w:p w14:paraId="5685676C" w14:textId="56DD6FE1" w:rsidR="00373400" w:rsidRDefault="00373400" w:rsidP="0009563E">
      <w:pPr>
        <w:rPr>
          <w:b/>
        </w:rPr>
      </w:pPr>
    </w:p>
    <w:p w14:paraId="0819ECD3" w14:textId="659F0536" w:rsidR="00373400" w:rsidRDefault="00373400" w:rsidP="0009563E">
      <w:pPr>
        <w:rPr>
          <w:b/>
        </w:rPr>
      </w:pPr>
    </w:p>
    <w:p w14:paraId="2097C90D" w14:textId="7A08C8CB" w:rsidR="00373400" w:rsidRDefault="00373400" w:rsidP="0009563E">
      <w:pPr>
        <w:rPr>
          <w:b/>
        </w:rPr>
      </w:pPr>
    </w:p>
    <w:p w14:paraId="3E0C021E" w14:textId="6DBA01CD" w:rsidR="00373400" w:rsidRDefault="00373400" w:rsidP="0009563E">
      <w:pPr>
        <w:rPr>
          <w:b/>
        </w:rPr>
      </w:pPr>
    </w:p>
    <w:p w14:paraId="13E40B90" w14:textId="77777777" w:rsidR="00373400" w:rsidRDefault="00373400" w:rsidP="0009563E">
      <w:pPr>
        <w:rPr>
          <w:b/>
        </w:rPr>
      </w:pPr>
    </w:p>
    <w:p w14:paraId="768A2651" w14:textId="44DD0D9A" w:rsidR="00636C9C" w:rsidRDefault="00BB5054" w:rsidP="0009563E">
      <w:pPr>
        <w:rPr>
          <w:b/>
        </w:rPr>
      </w:pPr>
      <w:proofErr w:type="spellStart"/>
      <w:r w:rsidRPr="00BE675D">
        <w:rPr>
          <w:b/>
        </w:rPr>
        <w:t>Konvervegence</w:t>
      </w:r>
      <w:proofErr w:type="spellEnd"/>
      <w:r w:rsidR="007E0982" w:rsidRPr="00BE675D">
        <w:rPr>
          <w:b/>
        </w:rPr>
        <w:t xml:space="preserve"> produktivity práce v </w:t>
      </w:r>
      <w:r w:rsidRPr="00BE675D">
        <w:rPr>
          <w:b/>
        </w:rPr>
        <w:t>odvětví</w:t>
      </w:r>
      <w:r w:rsidR="007E0982" w:rsidRPr="00BE675D">
        <w:rPr>
          <w:b/>
        </w:rPr>
        <w:t xml:space="preserve">ch </w:t>
      </w:r>
      <w:r w:rsidRPr="00BE675D">
        <w:rPr>
          <w:b/>
        </w:rPr>
        <w:t xml:space="preserve"> v zemích V4</w:t>
      </w:r>
    </w:p>
    <w:p w14:paraId="6F5FA5A8" w14:textId="436320A2" w:rsidR="000561B9" w:rsidRPr="001C4E40" w:rsidRDefault="000561B9" w:rsidP="001C4E40">
      <w:pPr>
        <w:jc w:val="both"/>
      </w:pPr>
    </w:p>
    <w:p w14:paraId="19A257CB" w14:textId="1076DB43" w:rsidR="005C348B" w:rsidRDefault="001C4E40" w:rsidP="005C348B">
      <w:pPr>
        <w:jc w:val="both"/>
      </w:pPr>
      <w:r>
        <w:t xml:space="preserve">Stávající publikované studie </w:t>
      </w:r>
      <w:r w:rsidRPr="001C4E40">
        <w:t>o konvergenci</w:t>
      </w:r>
      <w:r>
        <w:t xml:space="preserve"> v oblasti V4</w:t>
      </w:r>
      <w:r w:rsidRPr="001C4E40">
        <w:t xml:space="preserve"> </w:t>
      </w:r>
      <w:r>
        <w:t xml:space="preserve"> jsou zaměřeny nejčastěji na ekonomický růst. Oproti tomu tato část práce je zaměřena na konvergenci ve zpracovatelském průmyslu a zejména jeho jednotlivých částí</w:t>
      </w:r>
      <w:r w:rsidRPr="001C4E40">
        <w:t>, kter</w:t>
      </w:r>
      <w:r>
        <w:t>é</w:t>
      </w:r>
      <w:r w:rsidRPr="001C4E40">
        <w:t xml:space="preserve"> se nacházejí na trhu.</w:t>
      </w:r>
      <w:r>
        <w:t xml:space="preserve"> Hlavní cílem této části </w:t>
      </w:r>
      <w:r w:rsidR="005C348B">
        <w:t xml:space="preserve"> bylo </w:t>
      </w:r>
      <w:r>
        <w:t>zhodnoti</w:t>
      </w:r>
      <w:r w:rsidR="00FE4526">
        <w:t>t</w:t>
      </w:r>
      <w:r w:rsidR="005C348B">
        <w:t xml:space="preserve"> za dochází ke </w:t>
      </w:r>
      <w:r w:rsidR="005C348B" w:rsidRPr="0034046F">
        <w:t xml:space="preserve"> </w:t>
      </w:r>
      <w:r w:rsidR="005C348B">
        <w:t xml:space="preserve">beta ( </w:t>
      </w:r>
      <w:r w:rsidR="005C348B" w:rsidRPr="00BB5054">
        <w:t xml:space="preserve">β) </w:t>
      </w:r>
      <w:r w:rsidR="005C348B">
        <w:t>a sigma (</w:t>
      </w:r>
      <w:r w:rsidR="005C348B" w:rsidRPr="00BB5054">
        <w:t>σ)</w:t>
      </w:r>
      <w:r w:rsidR="005C348B">
        <w:t xml:space="preserve"> konvergenci v jednotlivých </w:t>
      </w:r>
      <w:proofErr w:type="gramStart"/>
      <w:r w:rsidR="005C348B">
        <w:t>oddílů</w:t>
      </w:r>
      <w:proofErr w:type="gramEnd"/>
      <w:r w:rsidR="005C348B">
        <w:t xml:space="preserve"> zpracovatelského průmyslu zemí V4.  </w:t>
      </w:r>
      <w:r>
        <w:t xml:space="preserve"> Analýza je tedy zaměřena na posouzení </w:t>
      </w:r>
      <w:r w:rsidR="00636C9C">
        <w:t>zda dochází ke sbližování úrovní jednotlivých oddílů zpracovatelského průmyslu</w:t>
      </w:r>
      <w:r>
        <w:t xml:space="preserve"> v zemích V4 a zda konvergují k průměru Německa u daných odvětví</w:t>
      </w:r>
      <w:r w:rsidR="00636C9C">
        <w:t>.</w:t>
      </w:r>
      <w:r w:rsidR="00BB5054">
        <w:t xml:space="preserve"> </w:t>
      </w:r>
      <w:r w:rsidR="005C348B" w:rsidRPr="005C348B">
        <w:t>Východiska analýzy beta-konvergence uvedené jsou založena na přístupech, které jsou podrobněji rozpracovány v metodice této  práce. Pro přehlednost jsou v této části shrnuty použité modely, metody jejich odhadu, forma statistické verifikace a rovněž vzorce pro výpočty charakteristik konvergence (rychlost a poločas konvergence).</w:t>
      </w:r>
      <w:r w:rsidR="005C348B">
        <w:t xml:space="preserve"> K</w:t>
      </w:r>
      <w:r w:rsidR="005C348B" w:rsidRPr="005C348B">
        <w:t xml:space="preserve"> provedení byl použit program </w:t>
      </w:r>
      <w:proofErr w:type="spellStart"/>
      <w:r w:rsidR="005C348B" w:rsidRPr="005C348B">
        <w:t>Statistica</w:t>
      </w:r>
      <w:proofErr w:type="spellEnd"/>
      <w:r w:rsidR="005C348B" w:rsidRPr="005C348B">
        <w:t>.  Prvním odhadovaným modelem je model absolutní beta-konvergence pro data za jednotlivé oddíly zpracovatelského sektoru v jednotlivých zemích V4.    Mo</w:t>
      </w:r>
      <w:r w:rsidR="00BE675D">
        <w:t>d</w:t>
      </w:r>
      <w:r w:rsidR="005C348B" w:rsidRPr="005C348B">
        <w:t>e</w:t>
      </w:r>
      <w:r w:rsidR="00BE675D">
        <w:t>l</w:t>
      </w:r>
      <w:r w:rsidR="005C348B" w:rsidRPr="005C348B">
        <w:t xml:space="preserve"> byl odhadn</w:t>
      </w:r>
      <w:r w:rsidR="00BE675D">
        <w:t>ut</w:t>
      </w:r>
      <w:r w:rsidR="005C348B" w:rsidRPr="005C348B">
        <w:t xml:space="preserve"> pomocí metody nejmenších čtverců (OLS). Pokud je odhadnutý koeficient beta  záporný a statisticky významný, pak je potvrzena absolutní beta-konvergence. Pokud je však koeficient beta  kladný a statisticky významný, jedná se o divergenci (</w:t>
      </w:r>
      <w:proofErr w:type="spellStart"/>
      <w:r w:rsidR="005C348B" w:rsidRPr="005C348B">
        <w:t>Barro</w:t>
      </w:r>
      <w:proofErr w:type="spellEnd"/>
      <w:r w:rsidR="005C348B" w:rsidRPr="005C348B">
        <w:t xml:space="preserve"> a </w:t>
      </w:r>
      <w:proofErr w:type="spellStart"/>
      <w:r w:rsidR="005C348B" w:rsidRPr="005C348B">
        <w:t>Sala</w:t>
      </w:r>
      <w:proofErr w:type="spellEnd"/>
      <w:r w:rsidR="005C348B" w:rsidRPr="005C348B">
        <w:t xml:space="preserve">-i-Martin, 2004). </w:t>
      </w:r>
    </w:p>
    <w:p w14:paraId="044C9BF3" w14:textId="77777777" w:rsidR="001C4E40" w:rsidRDefault="001C4E40" w:rsidP="00BB5054">
      <w:pPr>
        <w:jc w:val="both"/>
        <w:rPr>
          <w:b/>
        </w:rPr>
      </w:pPr>
    </w:p>
    <w:p w14:paraId="4344974D" w14:textId="5971F83A" w:rsidR="005C348B" w:rsidRPr="005C348B" w:rsidRDefault="005C348B" w:rsidP="00BB5054">
      <w:pPr>
        <w:jc w:val="both"/>
        <w:rPr>
          <w:b/>
        </w:rPr>
      </w:pPr>
      <w:r w:rsidRPr="005C348B">
        <w:rPr>
          <w:b/>
        </w:rPr>
        <w:t>Konvergence produktivity oddílů průmyslu v jednotlivých státech V4</w:t>
      </w:r>
    </w:p>
    <w:p w14:paraId="396D4E2C" w14:textId="77777777" w:rsidR="005C348B" w:rsidRDefault="005C348B" w:rsidP="005C348B">
      <w:pPr>
        <w:jc w:val="both"/>
      </w:pPr>
      <w:r>
        <w:t xml:space="preserve">Analýza konvergence produktivity jednotlivých oddílů zpracovatelského průmyslu vyžaduje data ohledně produktivity za dostatečně dlouhé časové období. Zde bylo vybráno období od vstupu zemí V4 do EU tedy od roku 2004 do roku 2018. Z hlediska délky časových řad pro konvergenci není  uvedené časové období úplně  ideální, ale lze považovat za dostatečné. Důvodem výběru bylo, že od roku 2018 již nejsou dostupná data u většiny analyzovaných oddílů zpracovatelského průmyslu. </w:t>
      </w:r>
    </w:p>
    <w:p w14:paraId="315CC8B9" w14:textId="08B54BBB" w:rsidR="00123989" w:rsidRDefault="003C4F1C" w:rsidP="00BB5054">
      <w:pPr>
        <w:jc w:val="both"/>
      </w:pPr>
      <w:r>
        <w:t xml:space="preserve">Následující graf </w:t>
      </w:r>
      <w:r w:rsidR="001C4E40">
        <w:t xml:space="preserve"> č. X</w:t>
      </w:r>
      <w:r w:rsidR="00C270FD">
        <w:t xml:space="preserve"> </w:t>
      </w:r>
      <w:r>
        <w:t xml:space="preserve">zobrazuje vývoj produktivity práce za </w:t>
      </w:r>
      <w:r w:rsidR="00BB5054">
        <w:t>analyzované</w:t>
      </w:r>
      <w:r>
        <w:t xml:space="preserve"> období ve zpracovatelském průmyslu </w:t>
      </w:r>
      <w:proofErr w:type="gramStart"/>
      <w:r>
        <w:t>zemí</w:t>
      </w:r>
      <w:r w:rsidR="005A3190">
        <w:t>ch</w:t>
      </w:r>
      <w:proofErr w:type="gramEnd"/>
      <w:r w:rsidR="005A3190">
        <w:t xml:space="preserve"> V4</w:t>
      </w:r>
      <w:r w:rsidR="00C270FD">
        <w:t xml:space="preserve">. Z uvedeného grafu je zřejmé, že produktivita práce není </w:t>
      </w:r>
      <w:r>
        <w:t xml:space="preserve"> </w:t>
      </w:r>
      <w:r w:rsidR="00C270FD">
        <w:t xml:space="preserve">výrazně odlišná v rámci zemí V 4, až na Maďarsko, kterému se </w:t>
      </w:r>
      <w:r w:rsidR="00BB5054">
        <w:t>podařilo</w:t>
      </w:r>
      <w:r w:rsidR="00C270FD">
        <w:t xml:space="preserve"> výrazně zvýšit </w:t>
      </w:r>
      <w:r w:rsidR="00BB5054">
        <w:t>produktu</w:t>
      </w:r>
      <w:r w:rsidR="00C270FD">
        <w:t xml:space="preserve"> práce v období ekonomických problém.   Při </w:t>
      </w:r>
      <w:r w:rsidR="00BB5054">
        <w:t>s</w:t>
      </w:r>
      <w:r w:rsidR="00C270FD">
        <w:t>rov</w:t>
      </w:r>
      <w:r w:rsidR="00BB5054">
        <w:t>n</w:t>
      </w:r>
      <w:r w:rsidR="00C270FD">
        <w:t>ání s průměrem EU 28</w:t>
      </w:r>
      <w:r w:rsidR="005A3190">
        <w:t xml:space="preserve"> či Německem</w:t>
      </w:r>
      <w:r w:rsidR="00C270FD">
        <w:t xml:space="preserve"> je již rozdíl zřejmý.  </w:t>
      </w:r>
    </w:p>
    <w:p w14:paraId="4F8D39C6" w14:textId="77777777" w:rsidR="00C270FD" w:rsidRDefault="00C270FD" w:rsidP="00C270FD">
      <w:r>
        <w:t>Graf č. X: Vývoj produktivity práce v tis. EUR na zaměstnanou osobu v zpracovatelském průmyslu</w:t>
      </w:r>
    </w:p>
    <w:p w14:paraId="77EE2F3A" w14:textId="77777777" w:rsidR="00C270FD" w:rsidRDefault="005A3190" w:rsidP="00C270FD">
      <w:r>
        <w:rPr>
          <w:noProof/>
          <w:lang w:eastAsia="cs-CZ"/>
        </w:rPr>
        <w:lastRenderedPageBreak/>
        <w:drawing>
          <wp:inline distT="0" distB="0" distL="0" distR="0" wp14:anchorId="40F50306" wp14:editId="1281CB68">
            <wp:extent cx="5760720" cy="2387600"/>
            <wp:effectExtent l="0" t="0" r="11430" b="1270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96BD28" w14:textId="77777777" w:rsidR="005C348B" w:rsidRDefault="005C348B" w:rsidP="00DF4992">
      <w:pPr>
        <w:jc w:val="both"/>
      </w:pPr>
    </w:p>
    <w:p w14:paraId="3CE36F63" w14:textId="6D52151A" w:rsidR="00465141" w:rsidRDefault="00465141" w:rsidP="00DF4992">
      <w:pPr>
        <w:jc w:val="both"/>
      </w:pPr>
      <w:r>
        <w:t>Nejprve byla zjišťována beta konvergence uvnitř jednotlivých států z pohledu jednotlivých oddílů zpracovatelského průmyslu.</w:t>
      </w:r>
      <w:r w:rsidR="00DF4992">
        <w:t xml:space="preserve"> Na základě absolutní beta konvergence lze předpokládat, že růst produktivity práce  je negativně závislý na počáteční úrovni produktivity práce.</w:t>
      </w:r>
      <w:r>
        <w:t xml:space="preserve"> Uvedená tabulka </w:t>
      </w:r>
      <w:r w:rsidR="00DF4992">
        <w:t xml:space="preserve">poskytuje </w:t>
      </w:r>
      <w:r>
        <w:t xml:space="preserve"> výslede</w:t>
      </w:r>
      <w:r w:rsidR="00E77C9D">
        <w:t xml:space="preserve">k, který ukazuje, </w:t>
      </w:r>
      <w:r w:rsidR="00DF4992">
        <w:t>zda</w:t>
      </w:r>
      <w:r w:rsidR="004967BB">
        <w:t xml:space="preserve"> dochází </w:t>
      </w:r>
      <w:proofErr w:type="gramStart"/>
      <w:r w:rsidR="004967BB">
        <w:t>ke</w:t>
      </w:r>
      <w:proofErr w:type="gramEnd"/>
      <w:r w:rsidR="004967BB">
        <w:t xml:space="preserve"> </w:t>
      </w:r>
      <w:r w:rsidR="00FE4526">
        <w:t xml:space="preserve">beta </w:t>
      </w:r>
      <w:proofErr w:type="gramStart"/>
      <w:r>
        <w:t>konve</w:t>
      </w:r>
      <w:r w:rsidR="004967BB">
        <w:t>r</w:t>
      </w:r>
      <w:r>
        <w:t>genci</w:t>
      </w:r>
      <w:proofErr w:type="gramEnd"/>
      <w:r>
        <w:t xml:space="preserve"> v rámci jednotlivých oddílů</w:t>
      </w:r>
      <w:r w:rsidR="00DF4992">
        <w:t xml:space="preserve"> průmyslu </w:t>
      </w:r>
      <w:r>
        <w:t xml:space="preserve"> pouze </w:t>
      </w:r>
      <w:r w:rsidR="00E77C9D">
        <w:t>v</w:t>
      </w:r>
      <w:r w:rsidR="00885DD8">
        <w:t> </w:t>
      </w:r>
      <w:r w:rsidR="00E77C9D">
        <w:t>Maďarsku</w:t>
      </w:r>
      <w:r w:rsidR="00885DD8">
        <w:t>,</w:t>
      </w:r>
      <w:r w:rsidR="00E77C9D">
        <w:t xml:space="preserve"> Polsku</w:t>
      </w:r>
      <w:r w:rsidR="00885DD8">
        <w:t xml:space="preserve"> a Česku</w:t>
      </w:r>
      <w:r w:rsidR="00E77C9D">
        <w:t xml:space="preserve"> na dané hladině významnosti.  V České republice je </w:t>
      </w:r>
      <w:r w:rsidR="00885DD8">
        <w:t xml:space="preserve">ovšem </w:t>
      </w:r>
      <w:r w:rsidR="00E77C9D">
        <w:t xml:space="preserve">hodnota </w:t>
      </w:r>
      <w:r w:rsidR="00501E75">
        <w:t>indexu</w:t>
      </w:r>
      <w:r w:rsidR="00E77C9D">
        <w:t xml:space="preserve"> terminace nízká</w:t>
      </w:r>
      <w:r w:rsidR="00885DD8">
        <w:t xml:space="preserve"> (R</w:t>
      </w:r>
      <w:r w:rsidR="00885DD8">
        <w:rPr>
          <w:vertAlign w:val="superscript"/>
        </w:rPr>
        <w:t>2</w:t>
      </w:r>
      <w:r w:rsidR="000A4F25">
        <w:t>=0,29</w:t>
      </w:r>
      <w:r w:rsidR="00885DD8">
        <w:t>)</w:t>
      </w:r>
      <w:r w:rsidR="00E77C9D">
        <w:t xml:space="preserve">. </w:t>
      </w:r>
      <w:r w:rsidR="00885DD8">
        <w:t>Na Slovensku naopak dochází k divergenci, ale stejně jako v Německu statistický test jako statisticky významný.</w:t>
      </w:r>
    </w:p>
    <w:p w14:paraId="49616012" w14:textId="1E66B557" w:rsidR="00FE54D4" w:rsidRDefault="009F7284" w:rsidP="00DF4992">
      <w:pPr>
        <w:jc w:val="both"/>
      </w:pPr>
      <w:r>
        <w:t xml:space="preserve">Tabulka č. X: Výsledky bety konvergence za jednotlivé státy </w:t>
      </w:r>
    </w:p>
    <w:tbl>
      <w:tblPr>
        <w:tblW w:w="9061" w:type="dxa"/>
        <w:tblInd w:w="-10" w:type="dxa"/>
        <w:tblLook w:val="04A0" w:firstRow="1" w:lastRow="0" w:firstColumn="1" w:lastColumn="0" w:noHBand="0" w:noVBand="1"/>
      </w:tblPr>
      <w:tblGrid>
        <w:gridCol w:w="1800"/>
        <w:gridCol w:w="3601"/>
        <w:gridCol w:w="1860"/>
        <w:gridCol w:w="1800"/>
      </w:tblGrid>
      <w:tr w:rsidR="00465141" w:rsidRPr="00465141" w14:paraId="6AF62E4C" w14:textId="77777777" w:rsidTr="00465141">
        <w:trPr>
          <w:trHeight w:val="322"/>
        </w:trPr>
        <w:tc>
          <w:tcPr>
            <w:tcW w:w="1800" w:type="dxa"/>
            <w:tcBorders>
              <w:top w:val="single" w:sz="8" w:space="0" w:color="FFFFFF"/>
              <w:left w:val="single" w:sz="8" w:space="0" w:color="FFFFFF"/>
              <w:bottom w:val="single" w:sz="8" w:space="0" w:color="FFFFFF"/>
              <w:right w:val="nil"/>
            </w:tcBorders>
            <w:shd w:val="clear" w:color="000000" w:fill="5B9BD5"/>
            <w:noWrap/>
            <w:vAlign w:val="center"/>
            <w:hideMark/>
          </w:tcPr>
          <w:p w14:paraId="7C350A38"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proofErr w:type="spellStart"/>
            <w:r w:rsidRPr="00465141">
              <w:rPr>
                <w:rFonts w:ascii="Calibri" w:eastAsia="Times New Roman" w:hAnsi="Calibri" w:cs="Calibri"/>
                <w:b/>
                <w:bCs/>
                <w:color w:val="333F4F"/>
                <w:lang w:val="en-GB" w:eastAsia="en-GB"/>
              </w:rPr>
              <w:t>Stát</w:t>
            </w:r>
            <w:proofErr w:type="spellEnd"/>
          </w:p>
        </w:tc>
        <w:tc>
          <w:tcPr>
            <w:tcW w:w="3601" w:type="dxa"/>
            <w:tcBorders>
              <w:top w:val="single" w:sz="8" w:space="0" w:color="FFFFFF"/>
              <w:left w:val="nil"/>
              <w:bottom w:val="single" w:sz="8" w:space="0" w:color="FFFFFF"/>
              <w:right w:val="nil"/>
            </w:tcBorders>
            <w:shd w:val="clear" w:color="000000" w:fill="5B9BD5"/>
            <w:noWrap/>
            <w:vAlign w:val="center"/>
            <w:hideMark/>
          </w:tcPr>
          <w:p w14:paraId="19D5FDB5"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proofErr w:type="spellStart"/>
            <w:r w:rsidRPr="00465141">
              <w:rPr>
                <w:rFonts w:ascii="Calibri" w:eastAsia="Times New Roman" w:hAnsi="Calibri" w:cs="Calibri"/>
                <w:b/>
                <w:bCs/>
                <w:color w:val="333F4F"/>
                <w:lang w:val="en-GB" w:eastAsia="en-GB"/>
              </w:rPr>
              <w:t>Parametr</w:t>
            </w:r>
            <w:proofErr w:type="spellEnd"/>
            <w:r w:rsidRPr="00465141">
              <w:rPr>
                <w:rFonts w:ascii="Calibri" w:eastAsia="Times New Roman" w:hAnsi="Calibri" w:cs="Calibri"/>
                <w:b/>
                <w:bCs/>
                <w:color w:val="333F4F"/>
                <w:lang w:val="en-GB" w:eastAsia="en-GB"/>
              </w:rPr>
              <w:t xml:space="preserve"> </w:t>
            </w:r>
            <w:proofErr w:type="spellStart"/>
            <w:r w:rsidRPr="00465141">
              <w:rPr>
                <w:rFonts w:ascii="Calibri" w:eastAsia="Times New Roman" w:hAnsi="Calibri" w:cs="Calibri"/>
                <w:b/>
                <w:bCs/>
                <w:color w:val="333F4F"/>
                <w:lang w:val="en-GB" w:eastAsia="en-GB"/>
              </w:rPr>
              <w:t>sklonu</w:t>
            </w:r>
            <w:proofErr w:type="spellEnd"/>
          </w:p>
        </w:tc>
        <w:tc>
          <w:tcPr>
            <w:tcW w:w="1860" w:type="dxa"/>
            <w:tcBorders>
              <w:top w:val="single" w:sz="8" w:space="0" w:color="FFFFFF"/>
              <w:left w:val="nil"/>
              <w:bottom w:val="single" w:sz="8" w:space="0" w:color="FFFFFF"/>
              <w:right w:val="nil"/>
            </w:tcBorders>
            <w:shd w:val="clear" w:color="000000" w:fill="5B9BD5"/>
            <w:noWrap/>
            <w:vAlign w:val="center"/>
            <w:hideMark/>
          </w:tcPr>
          <w:p w14:paraId="4172C9DE"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p-</w:t>
            </w:r>
            <w:proofErr w:type="spellStart"/>
            <w:r w:rsidRPr="00465141">
              <w:rPr>
                <w:rFonts w:ascii="Calibri" w:eastAsia="Times New Roman" w:hAnsi="Calibri" w:cs="Calibri"/>
                <w:b/>
                <w:bCs/>
                <w:color w:val="333F4F"/>
                <w:lang w:val="en-GB" w:eastAsia="en-GB"/>
              </w:rPr>
              <w:t>hodnota</w:t>
            </w:r>
            <w:proofErr w:type="spellEnd"/>
          </w:p>
        </w:tc>
        <w:tc>
          <w:tcPr>
            <w:tcW w:w="1800" w:type="dxa"/>
            <w:tcBorders>
              <w:top w:val="single" w:sz="8" w:space="0" w:color="FFFFFF"/>
              <w:left w:val="nil"/>
              <w:bottom w:val="single" w:sz="8" w:space="0" w:color="FFFFFF"/>
              <w:right w:val="nil"/>
            </w:tcBorders>
            <w:shd w:val="clear" w:color="000000" w:fill="5B9BD5"/>
            <w:noWrap/>
            <w:vAlign w:val="center"/>
            <w:hideMark/>
          </w:tcPr>
          <w:p w14:paraId="6BB71D91"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R</w:t>
            </w:r>
            <w:r w:rsidRPr="00465141">
              <w:rPr>
                <w:rFonts w:ascii="Calibri" w:eastAsia="Times New Roman" w:hAnsi="Calibri" w:cs="Calibri"/>
                <w:b/>
                <w:bCs/>
                <w:color w:val="333F4F"/>
                <w:vertAlign w:val="superscript"/>
                <w:lang w:val="en-GB" w:eastAsia="en-GB"/>
              </w:rPr>
              <w:t>2</w:t>
            </w:r>
          </w:p>
        </w:tc>
      </w:tr>
      <w:tr w:rsidR="00465141" w:rsidRPr="00465141" w14:paraId="19BB26F9"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015B05BC"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CZ</w:t>
            </w:r>
          </w:p>
        </w:tc>
        <w:tc>
          <w:tcPr>
            <w:tcW w:w="3601" w:type="dxa"/>
            <w:tcBorders>
              <w:top w:val="nil"/>
              <w:left w:val="nil"/>
              <w:bottom w:val="single" w:sz="8" w:space="0" w:color="FFFFFF"/>
              <w:right w:val="single" w:sz="8" w:space="0" w:color="FFFFFF"/>
            </w:tcBorders>
            <w:shd w:val="clear" w:color="000000" w:fill="BDD6EE"/>
            <w:noWrap/>
            <w:vAlign w:val="center"/>
            <w:hideMark/>
          </w:tcPr>
          <w:p w14:paraId="1BF7B4F9" w14:textId="77777777" w:rsidR="00465141" w:rsidRPr="00465141" w:rsidRDefault="00465141" w:rsidP="00A5311A">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w:t>
            </w:r>
            <w:r w:rsidR="00A5311A">
              <w:rPr>
                <w:rFonts w:ascii="Calibri" w:eastAsia="Times New Roman" w:hAnsi="Calibri" w:cs="Calibri"/>
                <w:color w:val="333F4F"/>
                <w:lang w:val="en-GB" w:eastAsia="en-GB"/>
              </w:rPr>
              <w:t>035</w:t>
            </w:r>
          </w:p>
        </w:tc>
        <w:tc>
          <w:tcPr>
            <w:tcW w:w="1860" w:type="dxa"/>
            <w:tcBorders>
              <w:top w:val="nil"/>
              <w:left w:val="nil"/>
              <w:bottom w:val="single" w:sz="8" w:space="0" w:color="FFFFFF"/>
              <w:right w:val="single" w:sz="8" w:space="0" w:color="FFFFFF"/>
            </w:tcBorders>
            <w:shd w:val="clear" w:color="000000" w:fill="BDD6EE"/>
            <w:noWrap/>
            <w:vAlign w:val="center"/>
            <w:hideMark/>
          </w:tcPr>
          <w:p w14:paraId="08E6665D" w14:textId="77777777" w:rsidR="00465141" w:rsidRPr="00465141" w:rsidRDefault="00465141" w:rsidP="00A5311A">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w:t>
            </w:r>
            <w:r w:rsidR="00A5311A">
              <w:rPr>
                <w:rFonts w:ascii="Calibri" w:eastAsia="Times New Roman" w:hAnsi="Calibri" w:cs="Calibri"/>
                <w:color w:val="333F4F"/>
                <w:lang w:val="en-GB" w:eastAsia="en-GB"/>
              </w:rPr>
              <w:t>54</w:t>
            </w:r>
          </w:p>
        </w:tc>
        <w:tc>
          <w:tcPr>
            <w:tcW w:w="1800" w:type="dxa"/>
            <w:tcBorders>
              <w:top w:val="nil"/>
              <w:left w:val="nil"/>
              <w:bottom w:val="single" w:sz="8" w:space="0" w:color="FFFFFF"/>
              <w:right w:val="single" w:sz="8" w:space="0" w:color="FFFFFF"/>
            </w:tcBorders>
            <w:shd w:val="clear" w:color="000000" w:fill="BDD6EE"/>
            <w:noWrap/>
            <w:vAlign w:val="center"/>
            <w:hideMark/>
          </w:tcPr>
          <w:p w14:paraId="09F1BBB8"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w:t>
            </w:r>
            <w:r w:rsidR="00A5311A">
              <w:rPr>
                <w:rFonts w:ascii="Calibri" w:eastAsia="Times New Roman" w:hAnsi="Calibri" w:cs="Calibri"/>
                <w:color w:val="333F4F"/>
                <w:lang w:val="en-GB" w:eastAsia="en-GB"/>
              </w:rPr>
              <w:t>.296</w:t>
            </w:r>
          </w:p>
        </w:tc>
      </w:tr>
      <w:tr w:rsidR="00465141" w:rsidRPr="00465141" w14:paraId="5AEE4863"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3BD2E53A"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HU</w:t>
            </w:r>
          </w:p>
        </w:tc>
        <w:tc>
          <w:tcPr>
            <w:tcW w:w="3601" w:type="dxa"/>
            <w:tcBorders>
              <w:top w:val="nil"/>
              <w:left w:val="nil"/>
              <w:bottom w:val="single" w:sz="8" w:space="0" w:color="FFFFFF"/>
              <w:right w:val="single" w:sz="8" w:space="0" w:color="FFFFFF"/>
            </w:tcBorders>
            <w:shd w:val="clear" w:color="000000" w:fill="DEEAF6"/>
            <w:noWrap/>
            <w:vAlign w:val="center"/>
            <w:hideMark/>
          </w:tcPr>
          <w:p w14:paraId="24B0BE32"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-0.035</w:t>
            </w:r>
          </w:p>
        </w:tc>
        <w:tc>
          <w:tcPr>
            <w:tcW w:w="1860" w:type="dxa"/>
            <w:tcBorders>
              <w:top w:val="nil"/>
              <w:left w:val="nil"/>
              <w:bottom w:val="single" w:sz="8" w:space="0" w:color="FFFFFF"/>
              <w:right w:val="single" w:sz="8" w:space="0" w:color="FFFFFF"/>
            </w:tcBorders>
            <w:shd w:val="clear" w:color="000000" w:fill="DEEAF6"/>
            <w:noWrap/>
            <w:vAlign w:val="center"/>
            <w:hideMark/>
          </w:tcPr>
          <w:p w14:paraId="2B7D5756"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0.002</w:t>
            </w:r>
          </w:p>
        </w:tc>
        <w:tc>
          <w:tcPr>
            <w:tcW w:w="1800" w:type="dxa"/>
            <w:tcBorders>
              <w:top w:val="nil"/>
              <w:left w:val="nil"/>
              <w:bottom w:val="single" w:sz="8" w:space="0" w:color="FFFFFF"/>
              <w:right w:val="single" w:sz="8" w:space="0" w:color="FFFFFF"/>
            </w:tcBorders>
            <w:shd w:val="clear" w:color="000000" w:fill="DEEAF6"/>
            <w:noWrap/>
            <w:vAlign w:val="center"/>
            <w:hideMark/>
          </w:tcPr>
          <w:p w14:paraId="028C498D"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0.601</w:t>
            </w:r>
          </w:p>
        </w:tc>
      </w:tr>
      <w:tr w:rsidR="00465141" w:rsidRPr="00465141" w14:paraId="243EBAE1"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025BF794"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PL</w:t>
            </w:r>
          </w:p>
        </w:tc>
        <w:tc>
          <w:tcPr>
            <w:tcW w:w="3601" w:type="dxa"/>
            <w:tcBorders>
              <w:top w:val="nil"/>
              <w:left w:val="nil"/>
              <w:bottom w:val="single" w:sz="8" w:space="0" w:color="FFFFFF"/>
              <w:right w:val="single" w:sz="8" w:space="0" w:color="FFFFFF"/>
            </w:tcBorders>
            <w:shd w:val="clear" w:color="000000" w:fill="BDD6EE"/>
            <w:noWrap/>
            <w:vAlign w:val="center"/>
            <w:hideMark/>
          </w:tcPr>
          <w:p w14:paraId="1D35ABAE"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-0.030</w:t>
            </w:r>
          </w:p>
        </w:tc>
        <w:tc>
          <w:tcPr>
            <w:tcW w:w="1860" w:type="dxa"/>
            <w:tcBorders>
              <w:top w:val="nil"/>
              <w:left w:val="nil"/>
              <w:bottom w:val="single" w:sz="8" w:space="0" w:color="FFFFFF"/>
              <w:right w:val="single" w:sz="8" w:space="0" w:color="FFFFFF"/>
            </w:tcBorders>
            <w:shd w:val="clear" w:color="000000" w:fill="BDD6EE"/>
            <w:noWrap/>
            <w:vAlign w:val="center"/>
            <w:hideMark/>
          </w:tcPr>
          <w:p w14:paraId="2F07ED8F"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0.000</w:t>
            </w:r>
          </w:p>
        </w:tc>
        <w:tc>
          <w:tcPr>
            <w:tcW w:w="1800" w:type="dxa"/>
            <w:tcBorders>
              <w:top w:val="nil"/>
              <w:left w:val="nil"/>
              <w:bottom w:val="single" w:sz="8" w:space="0" w:color="FFFFFF"/>
              <w:right w:val="single" w:sz="8" w:space="0" w:color="FFFFFF"/>
            </w:tcBorders>
            <w:shd w:val="clear" w:color="000000" w:fill="BDD6EE"/>
            <w:noWrap/>
            <w:vAlign w:val="center"/>
            <w:hideMark/>
          </w:tcPr>
          <w:p w14:paraId="5E314C08"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0.703</w:t>
            </w:r>
          </w:p>
        </w:tc>
      </w:tr>
      <w:tr w:rsidR="00465141" w:rsidRPr="00465141" w14:paraId="10CD70EF"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159419C4"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SK</w:t>
            </w:r>
          </w:p>
        </w:tc>
        <w:tc>
          <w:tcPr>
            <w:tcW w:w="3601" w:type="dxa"/>
            <w:tcBorders>
              <w:top w:val="nil"/>
              <w:left w:val="nil"/>
              <w:bottom w:val="single" w:sz="8" w:space="0" w:color="FFFFFF"/>
              <w:right w:val="single" w:sz="8" w:space="0" w:color="FFFFFF"/>
            </w:tcBorders>
            <w:shd w:val="clear" w:color="000000" w:fill="DEEAF6"/>
            <w:noWrap/>
            <w:vAlign w:val="center"/>
            <w:hideMark/>
          </w:tcPr>
          <w:p w14:paraId="6DAD2760"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0.133</w:t>
            </w:r>
          </w:p>
        </w:tc>
        <w:tc>
          <w:tcPr>
            <w:tcW w:w="1860" w:type="dxa"/>
            <w:tcBorders>
              <w:top w:val="nil"/>
              <w:left w:val="nil"/>
              <w:bottom w:val="single" w:sz="8" w:space="0" w:color="FFFFFF"/>
              <w:right w:val="single" w:sz="8" w:space="0" w:color="FFFFFF"/>
            </w:tcBorders>
            <w:shd w:val="clear" w:color="000000" w:fill="DEEAF6"/>
            <w:noWrap/>
            <w:vAlign w:val="center"/>
            <w:hideMark/>
          </w:tcPr>
          <w:p w14:paraId="26CC9067"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0.189</w:t>
            </w:r>
          </w:p>
        </w:tc>
        <w:tc>
          <w:tcPr>
            <w:tcW w:w="1800" w:type="dxa"/>
            <w:tcBorders>
              <w:top w:val="nil"/>
              <w:left w:val="nil"/>
              <w:bottom w:val="single" w:sz="8" w:space="0" w:color="FFFFFF"/>
              <w:right w:val="single" w:sz="8" w:space="0" w:color="FFFFFF"/>
            </w:tcBorders>
            <w:shd w:val="clear" w:color="000000" w:fill="DEEAF6"/>
            <w:noWrap/>
            <w:vAlign w:val="center"/>
            <w:hideMark/>
          </w:tcPr>
          <w:p w14:paraId="10CC8315"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0.151</w:t>
            </w:r>
          </w:p>
        </w:tc>
      </w:tr>
      <w:tr w:rsidR="00465141" w:rsidRPr="00465141" w14:paraId="739F721E"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34722C0F"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DE</w:t>
            </w:r>
          </w:p>
        </w:tc>
        <w:tc>
          <w:tcPr>
            <w:tcW w:w="3601" w:type="dxa"/>
            <w:tcBorders>
              <w:top w:val="nil"/>
              <w:left w:val="nil"/>
              <w:bottom w:val="single" w:sz="8" w:space="0" w:color="FFFFFF"/>
              <w:right w:val="single" w:sz="8" w:space="0" w:color="FFFFFF"/>
            </w:tcBorders>
            <w:shd w:val="clear" w:color="000000" w:fill="BDD6EE"/>
            <w:noWrap/>
            <w:vAlign w:val="center"/>
            <w:hideMark/>
          </w:tcPr>
          <w:p w14:paraId="1B110DDF"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-0.011</w:t>
            </w:r>
          </w:p>
        </w:tc>
        <w:tc>
          <w:tcPr>
            <w:tcW w:w="1860" w:type="dxa"/>
            <w:tcBorders>
              <w:top w:val="nil"/>
              <w:left w:val="nil"/>
              <w:bottom w:val="single" w:sz="8" w:space="0" w:color="FFFFFF"/>
              <w:right w:val="single" w:sz="8" w:space="0" w:color="FFFFFF"/>
            </w:tcBorders>
            <w:shd w:val="clear" w:color="000000" w:fill="BDD6EE"/>
            <w:noWrap/>
            <w:vAlign w:val="center"/>
            <w:hideMark/>
          </w:tcPr>
          <w:p w14:paraId="784DF65B"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0.262</w:t>
            </w:r>
          </w:p>
        </w:tc>
        <w:tc>
          <w:tcPr>
            <w:tcW w:w="1800" w:type="dxa"/>
            <w:tcBorders>
              <w:top w:val="nil"/>
              <w:left w:val="nil"/>
              <w:bottom w:val="single" w:sz="8" w:space="0" w:color="FFFFFF"/>
              <w:right w:val="single" w:sz="8" w:space="0" w:color="FFFFFF"/>
            </w:tcBorders>
            <w:shd w:val="clear" w:color="000000" w:fill="BDD6EE"/>
            <w:noWrap/>
            <w:vAlign w:val="center"/>
            <w:hideMark/>
          </w:tcPr>
          <w:p w14:paraId="61F0F2CC"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0.112</w:t>
            </w:r>
          </w:p>
        </w:tc>
      </w:tr>
    </w:tbl>
    <w:p w14:paraId="46E9EC53" w14:textId="30B47AF5" w:rsidR="00465141" w:rsidRDefault="00465141" w:rsidP="00C270FD">
      <w:r>
        <w:t xml:space="preserve">  </w:t>
      </w:r>
    </w:p>
    <w:p w14:paraId="171BF6B5" w14:textId="4CD94999" w:rsidR="0034046F" w:rsidRDefault="0034046F" w:rsidP="00790042">
      <w:pPr>
        <w:jc w:val="both"/>
      </w:pPr>
      <w:r>
        <w:t xml:space="preserve">Grafické znázornění analýzy beta-konvergence  je zaznamenáno v následujícím obrázku číslo  X,  který zachycuje konvergenci produktivity práce mezi jednotlivými oddíly zpracovatelského průmyslu zemí V4. </w:t>
      </w:r>
      <w:proofErr w:type="spellStart"/>
      <w:r>
        <w:t>Vertikání</w:t>
      </w:r>
      <w:proofErr w:type="spellEnd"/>
      <w:r>
        <w:t xml:space="preserve"> osa ukazuje logaritmus tempa růstu produktivity práce. Horizontální osa ukazuje logaritmus produktivity práce ve výchozím období roku 2014</w:t>
      </w:r>
      <w:r w:rsidR="00B82049">
        <w:t xml:space="preserve">.  Sklon křivky je negativní (-0,0542). Regresní výpočet dokazuje,  že konvergenci lze potvrdit </w:t>
      </w:r>
      <w:proofErr w:type="gramStart"/>
      <w:r w:rsidR="00B82049">
        <w:t>zemích</w:t>
      </w:r>
      <w:proofErr w:type="gramEnd"/>
      <w:r w:rsidR="00B82049">
        <w:t xml:space="preserve"> V4 v letech 2004 až 2018, ale s nižší  hodnotou indexu determinace R</w:t>
      </w:r>
      <w:r w:rsidR="00B82049">
        <w:rPr>
          <w:vertAlign w:val="superscript"/>
        </w:rPr>
        <w:t>2</w:t>
      </w:r>
      <w:r w:rsidR="00B82049">
        <w:t>=0,35 na dané hladině významnosti. Z tohoto důvodu  můžeme konstatovat, že méně výkonné oddíly v tomto období rostly rychleji než jejich více rozvinuté.</w:t>
      </w:r>
      <w:r>
        <w:t xml:space="preserve"> </w:t>
      </w:r>
    </w:p>
    <w:p w14:paraId="26D44D54" w14:textId="77777777" w:rsidR="0034046F" w:rsidRDefault="0034046F" w:rsidP="0034046F">
      <w:r>
        <w:t xml:space="preserve">Obrázek </w:t>
      </w:r>
      <w:proofErr w:type="spellStart"/>
      <w:proofErr w:type="gramStart"/>
      <w:r>
        <w:t>č.X</w:t>
      </w:r>
      <w:proofErr w:type="spellEnd"/>
      <w:r>
        <w:t>:</w:t>
      </w:r>
      <w:proofErr w:type="gramEnd"/>
      <w:r>
        <w:t xml:space="preserve"> Beta </w:t>
      </w:r>
      <w:proofErr w:type="spellStart"/>
      <w:r>
        <w:t>konvercege</w:t>
      </w:r>
      <w:proofErr w:type="spellEnd"/>
      <w:r>
        <w:t xml:space="preserve"> v oddílech průmyslu zemí V4</w:t>
      </w:r>
    </w:p>
    <w:p w14:paraId="39A7659C" w14:textId="77777777" w:rsidR="0034046F" w:rsidRDefault="00142415" w:rsidP="0034046F">
      <w:r>
        <w:object w:dxaOrig="9071" w:dyaOrig="6804" w14:anchorId="1865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42pt" o:ole="">
            <v:imagedata r:id="rId20" o:title=""/>
          </v:shape>
          <o:OLEObject Type="Embed" ProgID="STATISTICA.Graph" ShapeID="_x0000_i1025" DrawAspect="Content" ObjectID="_1694186009" r:id="rId21">
            <o:FieldCodes>\s</o:FieldCodes>
          </o:OLEObject>
        </w:object>
      </w:r>
      <w:r w:rsidR="0034046F">
        <w:t xml:space="preserve">  </w:t>
      </w:r>
    </w:p>
    <w:p w14:paraId="34B7AF46" w14:textId="6BD83741" w:rsidR="00CF73C5" w:rsidRDefault="00CF73C5" w:rsidP="00CF73C5">
      <w:r>
        <w:t xml:space="preserve">Pro přesnější představu byl graf </w:t>
      </w:r>
      <w:r w:rsidR="00790042">
        <w:t>rozdělen na</w:t>
      </w:r>
      <w:r>
        <w:t xml:space="preserve"> čtyři části, a to podél přímé regresní přímky (oddíly průmyslu  nad a pod přímkou) a podél mediánu v roce 2004 (mediánovou hodnotou je v našem případě je hodnota 2,91). Výsledkem je, že lze rozdělit oddíly průmysly do čtyř skupin na základě obrázku č X</w:t>
      </w:r>
    </w:p>
    <w:p w14:paraId="48BBCA85" w14:textId="77777777" w:rsidR="00790042" w:rsidRDefault="00790042" w:rsidP="00790042">
      <w:pPr>
        <w:pStyle w:val="Odstavecseseznamem"/>
        <w:numPr>
          <w:ilvl w:val="0"/>
          <w:numId w:val="2"/>
        </w:numPr>
      </w:pPr>
      <w:r>
        <w:t>První kvadrant obsahuje odvětví s relativně vysokou produktivitou práce a které vykázaly vyšší tempo růstu, než předpovídá regresní přímka.</w:t>
      </w:r>
    </w:p>
    <w:p w14:paraId="3F170A28" w14:textId="6CC55286" w:rsidR="00790042" w:rsidRDefault="00790042" w:rsidP="00C8692A">
      <w:pPr>
        <w:pStyle w:val="Odstavecseseznamem"/>
        <w:numPr>
          <w:ilvl w:val="0"/>
          <w:numId w:val="2"/>
        </w:numPr>
      </w:pPr>
      <w:r>
        <w:t>Průmyslové oddíly druhého kvadrantu vykazovali  relativně vysoký průměrný růst s relativně nízkou počáteční úrovní produktivit práce (odvětví, které jsou méně rozvinuté v oblasti produktivity práce, ale dohánějí zaostávání).</w:t>
      </w:r>
    </w:p>
    <w:p w14:paraId="7B48E656" w14:textId="66A4A938" w:rsidR="00CF73C5" w:rsidRDefault="00790042" w:rsidP="00CF73C5">
      <w:pPr>
        <w:pStyle w:val="Odstavecseseznamem"/>
        <w:numPr>
          <w:ilvl w:val="0"/>
          <w:numId w:val="2"/>
        </w:numPr>
      </w:pPr>
      <w:r>
        <w:t xml:space="preserve">Třetí </w:t>
      </w:r>
      <w:r w:rsidR="00CF73C5">
        <w:t xml:space="preserve"> kvadrant  zahrnuje </w:t>
      </w:r>
      <w:r>
        <w:t>průmyslová odvětví</w:t>
      </w:r>
      <w:r w:rsidR="00CF73C5">
        <w:t xml:space="preserve">, které nevykazovaly známky dohánění a mají relativně nízkou hodnotu produktivity práce. </w:t>
      </w:r>
    </w:p>
    <w:p w14:paraId="75C878A1" w14:textId="12F71F8B" w:rsidR="00CF73C5" w:rsidRDefault="00CF73C5" w:rsidP="00C8692A">
      <w:pPr>
        <w:pStyle w:val="Odstavecseseznamem"/>
        <w:numPr>
          <w:ilvl w:val="0"/>
          <w:numId w:val="2"/>
        </w:numPr>
      </w:pPr>
      <w:r>
        <w:t xml:space="preserve">Čtvrtý kvadrant obsahuje odvětví, které mají relativně </w:t>
      </w:r>
      <w:r w:rsidR="00790042">
        <w:t>vysokou</w:t>
      </w:r>
      <w:r>
        <w:t xml:space="preserve"> úroveň produktivity práce </w:t>
      </w:r>
      <w:r w:rsidR="00790042">
        <w:t xml:space="preserve">ale s nízkým tempem růstu </w:t>
      </w:r>
      <w:r>
        <w:t xml:space="preserve"> (</w:t>
      </w:r>
      <w:r w:rsidR="00790042">
        <w:t>mírně</w:t>
      </w:r>
      <w:r>
        <w:t xml:space="preserve"> zaostávající).</w:t>
      </w:r>
    </w:p>
    <w:p w14:paraId="5D9ED399" w14:textId="0D670EBE" w:rsidR="00790042" w:rsidRDefault="00790042" w:rsidP="00790042">
      <w:r>
        <w:t>Při zjednodušení je možné říci, že beta konvergence  se objevuje</w:t>
      </w:r>
      <w:r w:rsidR="007A563E">
        <w:t xml:space="preserve"> u oddílů průmyslu </w:t>
      </w:r>
      <w:r>
        <w:t xml:space="preserve"> ve kvadrantu  2  a 4.  Naopak průmyslová odvětví v  kvadratnu  1 a 3 mírně </w:t>
      </w:r>
      <w:r w:rsidR="007A563E">
        <w:t>zaostávají</w:t>
      </w:r>
      <w:r>
        <w:t xml:space="preserve"> procesu </w:t>
      </w:r>
      <w:proofErr w:type="spellStart"/>
      <w:r>
        <w:t>konvegence</w:t>
      </w:r>
      <w:proofErr w:type="spellEnd"/>
      <w:r>
        <w:t>.</w:t>
      </w:r>
    </w:p>
    <w:p w14:paraId="38E06D30" w14:textId="14C9AEC5" w:rsidR="007A563E" w:rsidRDefault="007A563E" w:rsidP="00790042"/>
    <w:p w14:paraId="1842775D" w14:textId="48E9DC50" w:rsidR="007A563E" w:rsidRDefault="007A563E" w:rsidP="00790042"/>
    <w:p w14:paraId="4EB5C560" w14:textId="2E61C553" w:rsidR="007A563E" w:rsidRDefault="007A563E" w:rsidP="00790042"/>
    <w:p w14:paraId="77DBC5A2" w14:textId="77777777" w:rsidR="007A563E" w:rsidRDefault="007A563E" w:rsidP="00790042"/>
    <w:p w14:paraId="668B5E23" w14:textId="77777777" w:rsidR="009F7284" w:rsidRDefault="009F5E15" w:rsidP="009F7284">
      <w:pPr>
        <w:jc w:val="both"/>
      </w:pPr>
      <w:r>
        <w:lastRenderedPageBreak/>
        <w:t>Uvedený závěr potvrzuje i výsledek sigma konvergence  v zemích V4  tedy za dochácí ke snižování</w:t>
      </w:r>
      <w:r w:rsidR="001E79D9">
        <w:rPr>
          <w:rFonts w:ascii="Arial" w:hAnsi="Arial" w:cs="Arial"/>
          <w:color w:val="4D5156"/>
          <w:sz w:val="21"/>
          <w:szCs w:val="21"/>
          <w:shd w:val="clear" w:color="auto" w:fill="FFFFFF"/>
        </w:rPr>
        <w:t> </w:t>
      </w:r>
      <w:r w:rsidR="001E79D9" w:rsidRPr="00E92D9A">
        <w:t>rozdílu mezi dvěma veličinami v čase v našem případě vari</w:t>
      </w:r>
      <w:r w:rsidR="00BE675D">
        <w:t>a</w:t>
      </w:r>
      <w:r w:rsidR="001E79D9" w:rsidRPr="00E92D9A">
        <w:t>čního koeficientu.</w:t>
      </w:r>
      <w:r w:rsidR="00E92D9A">
        <w:t xml:space="preserve"> Graf</w:t>
      </w:r>
      <w:r w:rsidR="00BE675D">
        <w:t xml:space="preserve"> č. X</w:t>
      </w:r>
      <w:r w:rsidR="00E92D9A">
        <w:t xml:space="preserve"> zpracovatelského průmyslu za země v V4 ukazuje snižování variačního koeficientu. </w:t>
      </w:r>
    </w:p>
    <w:p w14:paraId="35DAB83D" w14:textId="4C9D63B4" w:rsidR="001E79D9" w:rsidRPr="009F7284" w:rsidRDefault="001E79D9" w:rsidP="009F7284">
      <w:pPr>
        <w:jc w:val="both"/>
      </w:pPr>
      <w:r w:rsidRPr="009F7284">
        <w:t xml:space="preserve">Graf </w:t>
      </w:r>
      <w:proofErr w:type="spellStart"/>
      <w:proofErr w:type="gramStart"/>
      <w:r w:rsidRPr="009F7284">
        <w:t>č.X</w:t>
      </w:r>
      <w:proofErr w:type="spellEnd"/>
      <w:r w:rsidRPr="009F7284">
        <w:t>:</w:t>
      </w:r>
      <w:proofErr w:type="gramEnd"/>
      <w:r w:rsidRPr="009F7284">
        <w:t xml:space="preserve"> Vývoj variačního koeficientu </w:t>
      </w:r>
      <w:r w:rsidR="00E92D9A" w:rsidRPr="009F7284">
        <w:t xml:space="preserve">LP </w:t>
      </w:r>
      <w:r w:rsidRPr="009F7284">
        <w:t xml:space="preserve">v  průmyslu V4 </w:t>
      </w:r>
    </w:p>
    <w:p w14:paraId="22DADE8B" w14:textId="77777777" w:rsidR="009F5E15" w:rsidRDefault="001E79D9" w:rsidP="0034046F">
      <w:pPr>
        <w:rPr>
          <w:rFonts w:ascii="Arial" w:hAnsi="Arial" w:cs="Arial"/>
          <w:color w:val="4D5156"/>
          <w:sz w:val="21"/>
          <w:szCs w:val="21"/>
          <w:shd w:val="clear" w:color="auto" w:fill="FFFFFF"/>
        </w:rPr>
      </w:pPr>
      <w:r>
        <w:rPr>
          <w:noProof/>
          <w:lang w:eastAsia="cs-CZ"/>
        </w:rPr>
        <w:drawing>
          <wp:inline distT="0" distB="0" distL="0" distR="0" wp14:anchorId="7A9DF3BE" wp14:editId="43613F5D">
            <wp:extent cx="5707380" cy="2773680"/>
            <wp:effectExtent l="0" t="0" r="7620" b="762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A3342D" w14:textId="767FFD85" w:rsidR="006F7F72" w:rsidRDefault="001E79D9" w:rsidP="00BE675D">
      <w:pPr>
        <w:jc w:val="both"/>
      </w:pPr>
      <w:r>
        <w:t>Je nutné připoustit, že tato hodnota je za celek a proto další analýza ukazuje tend ve snižování za jednotlivé oddíly  států V4.</w:t>
      </w:r>
      <w:r w:rsidR="00501E75" w:rsidRPr="00501E75">
        <w:t xml:space="preserve"> </w:t>
      </w:r>
      <w:r w:rsidR="00501E75">
        <w:t xml:space="preserve">Uvedená tabulka postuje pohled na výsledek velikost variačních koeficientů ve vybraných letech. Na základě velikost variačních koeficientů za všechny sledované roky byl určen trend ve snižování či zvyšování hodnoty tohoto ukazatele. Sigma konvergence byla potvrzena u odvětví ve kterých byl trend ve snižování hodnoty variačního koeficientu.  Bylo zjištěno, že nejvíce dochází ke snižování rozdílů v produktivitě práce  v oddílech průmyslu zaměřeních na výrobu strojů a dopravních prostředků, chemickém průmyslu,  textilním průmyslu a farmaceutickém průmyslu.  Naopak ve čtyřech oddílech potvrzena nabyla. </w:t>
      </w:r>
    </w:p>
    <w:p w14:paraId="559F20B7" w14:textId="7F410DBF" w:rsidR="001E79D9" w:rsidRDefault="00B21E23" w:rsidP="0034046F">
      <w:r>
        <w:t>Tabulka č. X: Vývoj variačního koeficientu v jednotlivých oddílech průmyslu v zemích V 4</w:t>
      </w:r>
    </w:p>
    <w:tbl>
      <w:tblPr>
        <w:tblStyle w:val="Tabulkasmkou4zvraznn1"/>
        <w:tblW w:w="9209" w:type="dxa"/>
        <w:tblLook w:val="04A0" w:firstRow="1" w:lastRow="0" w:firstColumn="1" w:lastColumn="0" w:noHBand="0" w:noVBand="1"/>
      </w:tblPr>
      <w:tblGrid>
        <w:gridCol w:w="3650"/>
        <w:gridCol w:w="1023"/>
        <w:gridCol w:w="909"/>
        <w:gridCol w:w="683"/>
        <w:gridCol w:w="718"/>
        <w:gridCol w:w="1298"/>
        <w:gridCol w:w="851"/>
        <w:gridCol w:w="77"/>
      </w:tblGrid>
      <w:tr w:rsidR="00340CA5" w:rsidRPr="00B21E23" w14:paraId="6664B389" w14:textId="46019D54" w:rsidTr="00340C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54B6ECC3" w14:textId="77777777" w:rsidR="00340CA5" w:rsidRPr="00B21E23" w:rsidRDefault="00340CA5" w:rsidP="00B21E23">
            <w:r w:rsidRPr="00B21E23">
              <w:t xml:space="preserve">Odvětví NACE </w:t>
            </w:r>
          </w:p>
        </w:tc>
        <w:tc>
          <w:tcPr>
            <w:tcW w:w="1023" w:type="dxa"/>
            <w:noWrap/>
            <w:hideMark/>
          </w:tcPr>
          <w:p w14:paraId="08A5DE58" w14:textId="77777777" w:rsidR="00340CA5" w:rsidRPr="00340CA5" w:rsidRDefault="00340CA5" w:rsidP="00B21E23">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2004</w:t>
            </w:r>
          </w:p>
        </w:tc>
        <w:tc>
          <w:tcPr>
            <w:tcW w:w="909" w:type="dxa"/>
            <w:noWrap/>
            <w:hideMark/>
          </w:tcPr>
          <w:p w14:paraId="5E4F7FDA" w14:textId="77777777" w:rsidR="00340CA5" w:rsidRPr="00340CA5" w:rsidRDefault="00340CA5" w:rsidP="00B21E23">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2009</w:t>
            </w:r>
          </w:p>
        </w:tc>
        <w:tc>
          <w:tcPr>
            <w:tcW w:w="683" w:type="dxa"/>
            <w:noWrap/>
            <w:hideMark/>
          </w:tcPr>
          <w:p w14:paraId="2AE8BCA4" w14:textId="77777777" w:rsidR="00340CA5" w:rsidRPr="00340CA5" w:rsidRDefault="00340CA5" w:rsidP="00B21E23">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2014</w:t>
            </w:r>
          </w:p>
        </w:tc>
        <w:tc>
          <w:tcPr>
            <w:tcW w:w="718" w:type="dxa"/>
            <w:noWrap/>
            <w:hideMark/>
          </w:tcPr>
          <w:p w14:paraId="3D99AF61" w14:textId="77777777" w:rsidR="00340CA5" w:rsidRPr="00340CA5" w:rsidRDefault="00340CA5" w:rsidP="00B21E23">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2018</w:t>
            </w:r>
          </w:p>
        </w:tc>
        <w:tc>
          <w:tcPr>
            <w:tcW w:w="1298" w:type="dxa"/>
            <w:noWrap/>
            <w:hideMark/>
          </w:tcPr>
          <w:p w14:paraId="4BE9E0DF" w14:textId="77777777" w:rsidR="00340CA5" w:rsidRPr="00340CA5" w:rsidRDefault="00340CA5" w:rsidP="00B21E23">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konvergence sigma</w:t>
            </w:r>
          </w:p>
        </w:tc>
        <w:tc>
          <w:tcPr>
            <w:tcW w:w="928" w:type="dxa"/>
            <w:gridSpan w:val="2"/>
          </w:tcPr>
          <w:p w14:paraId="46FD87F8" w14:textId="7AB8A7DA" w:rsidR="00340CA5" w:rsidRPr="00340CA5" w:rsidRDefault="00340CA5" w:rsidP="00340CA5">
            <w:pPr>
              <w:jc w:val="center"/>
              <w:cnfStyle w:val="100000000000" w:firstRow="1" w:lastRow="0" w:firstColumn="0" w:lastColumn="0" w:oddVBand="0" w:evenVBand="0" w:oddHBand="0" w:evenHBand="0" w:firstRowFirstColumn="0" w:firstRowLastColumn="0" w:lastRowFirstColumn="0" w:lastRowLastColumn="0"/>
              <w:rPr>
                <w:sz w:val="18"/>
              </w:rPr>
            </w:pPr>
            <w:r w:rsidRPr="00340CA5">
              <w:rPr>
                <w:sz w:val="18"/>
              </w:rPr>
              <w:t>Směrnice trendu</w:t>
            </w:r>
          </w:p>
        </w:tc>
      </w:tr>
      <w:tr w:rsidR="00340CA5" w:rsidRPr="00B21E23" w14:paraId="1E115E38" w14:textId="07560785"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0487785" w14:textId="18941E25" w:rsidR="00340CA5" w:rsidRPr="00B21E23" w:rsidRDefault="00340CA5" w:rsidP="00340CA5">
            <w:r w:rsidRPr="000C4B4D">
              <w:rPr>
                <w:b w:val="0"/>
                <w:sz w:val="18"/>
              </w:rPr>
              <w:t>Výroba potravinářských výrobků</w:t>
            </w:r>
          </w:p>
        </w:tc>
        <w:tc>
          <w:tcPr>
            <w:tcW w:w="1023" w:type="dxa"/>
            <w:noWrap/>
            <w:hideMark/>
          </w:tcPr>
          <w:p w14:paraId="371E009C"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19.2</w:t>
            </w:r>
          </w:p>
        </w:tc>
        <w:tc>
          <w:tcPr>
            <w:tcW w:w="909" w:type="dxa"/>
            <w:noWrap/>
            <w:hideMark/>
          </w:tcPr>
          <w:p w14:paraId="150A2B9A"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15.1</w:t>
            </w:r>
          </w:p>
        </w:tc>
        <w:tc>
          <w:tcPr>
            <w:tcW w:w="683" w:type="dxa"/>
            <w:noWrap/>
            <w:hideMark/>
          </w:tcPr>
          <w:p w14:paraId="42377EFF"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23.4</w:t>
            </w:r>
          </w:p>
        </w:tc>
        <w:tc>
          <w:tcPr>
            <w:tcW w:w="718" w:type="dxa"/>
            <w:noWrap/>
            <w:hideMark/>
          </w:tcPr>
          <w:p w14:paraId="660FE47C"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33.5</w:t>
            </w:r>
          </w:p>
        </w:tc>
        <w:tc>
          <w:tcPr>
            <w:tcW w:w="1298" w:type="dxa"/>
            <w:noWrap/>
            <w:hideMark/>
          </w:tcPr>
          <w:p w14:paraId="0ABD5FD0" w14:textId="7777777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sidRPr="009F7284">
              <w:rPr>
                <w:b/>
                <w:color w:val="C00000"/>
              </w:rPr>
              <w:t>ne</w:t>
            </w:r>
          </w:p>
        </w:tc>
        <w:tc>
          <w:tcPr>
            <w:tcW w:w="851" w:type="dxa"/>
            <w:vAlign w:val="bottom"/>
          </w:tcPr>
          <w:p w14:paraId="0A6B254E" w14:textId="5F68FD82"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color w:val="C00000"/>
              </w:rPr>
            </w:pPr>
            <w:r>
              <w:rPr>
                <w:rFonts w:ascii="Arial" w:hAnsi="Arial" w:cs="Arial"/>
              </w:rPr>
              <w:t>1.33</w:t>
            </w:r>
          </w:p>
        </w:tc>
      </w:tr>
      <w:tr w:rsidR="00340CA5" w:rsidRPr="00B21E23" w14:paraId="597EDB26" w14:textId="4B82C65A"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1B5851E7" w14:textId="31E5B578" w:rsidR="00340CA5" w:rsidRPr="00B21E23" w:rsidRDefault="00340CA5" w:rsidP="00340CA5">
            <w:r w:rsidRPr="000C4B4D">
              <w:rPr>
                <w:b w:val="0"/>
                <w:sz w:val="18"/>
              </w:rPr>
              <w:t>Výroba textilu</w:t>
            </w:r>
          </w:p>
        </w:tc>
        <w:tc>
          <w:tcPr>
            <w:tcW w:w="1023" w:type="dxa"/>
            <w:noWrap/>
            <w:hideMark/>
          </w:tcPr>
          <w:p w14:paraId="264AD04E"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31.3</w:t>
            </w:r>
          </w:p>
        </w:tc>
        <w:tc>
          <w:tcPr>
            <w:tcW w:w="909" w:type="dxa"/>
            <w:noWrap/>
            <w:hideMark/>
          </w:tcPr>
          <w:p w14:paraId="1F25FB75"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44.1</w:t>
            </w:r>
          </w:p>
        </w:tc>
        <w:tc>
          <w:tcPr>
            <w:tcW w:w="683" w:type="dxa"/>
            <w:noWrap/>
            <w:hideMark/>
          </w:tcPr>
          <w:p w14:paraId="0F2C770C"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26.7</w:t>
            </w:r>
          </w:p>
        </w:tc>
        <w:tc>
          <w:tcPr>
            <w:tcW w:w="718" w:type="dxa"/>
            <w:noWrap/>
            <w:hideMark/>
          </w:tcPr>
          <w:p w14:paraId="37DFBC09"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21.1</w:t>
            </w:r>
          </w:p>
        </w:tc>
        <w:tc>
          <w:tcPr>
            <w:tcW w:w="1298" w:type="dxa"/>
            <w:noWrap/>
            <w:hideMark/>
          </w:tcPr>
          <w:p w14:paraId="1D3D7359" w14:textId="77777777"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sidRPr="009F7284">
              <w:rPr>
                <w:b/>
              </w:rPr>
              <w:t>ano</w:t>
            </w:r>
          </w:p>
        </w:tc>
        <w:tc>
          <w:tcPr>
            <w:tcW w:w="851" w:type="dxa"/>
            <w:vAlign w:val="center"/>
          </w:tcPr>
          <w:p w14:paraId="73003A31" w14:textId="64F6E03D"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color w:val="FF0000"/>
                <w:sz w:val="20"/>
                <w:szCs w:val="20"/>
              </w:rPr>
              <w:t>-1.72*</w:t>
            </w:r>
          </w:p>
        </w:tc>
      </w:tr>
      <w:tr w:rsidR="00340CA5" w:rsidRPr="00B21E23" w14:paraId="1DCC3A94" w14:textId="6AC55F49"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72AA1505" w14:textId="58976A3C" w:rsidR="00340CA5" w:rsidRPr="00B21E23" w:rsidRDefault="00340CA5" w:rsidP="00340CA5">
            <w:r w:rsidRPr="000C4B4D">
              <w:rPr>
                <w:b w:val="0"/>
                <w:sz w:val="18"/>
              </w:rPr>
              <w:t>Výroba dřeva a papíru</w:t>
            </w:r>
          </w:p>
        </w:tc>
        <w:tc>
          <w:tcPr>
            <w:tcW w:w="1023" w:type="dxa"/>
            <w:noWrap/>
            <w:hideMark/>
          </w:tcPr>
          <w:p w14:paraId="01F56751"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17.1</w:t>
            </w:r>
          </w:p>
        </w:tc>
        <w:tc>
          <w:tcPr>
            <w:tcW w:w="909" w:type="dxa"/>
            <w:noWrap/>
            <w:hideMark/>
          </w:tcPr>
          <w:p w14:paraId="3E8943B3"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20.5</w:t>
            </w:r>
          </w:p>
        </w:tc>
        <w:tc>
          <w:tcPr>
            <w:tcW w:w="683" w:type="dxa"/>
            <w:noWrap/>
            <w:hideMark/>
          </w:tcPr>
          <w:p w14:paraId="32F7097D"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32.2</w:t>
            </w:r>
          </w:p>
        </w:tc>
        <w:tc>
          <w:tcPr>
            <w:tcW w:w="718" w:type="dxa"/>
            <w:noWrap/>
            <w:hideMark/>
          </w:tcPr>
          <w:p w14:paraId="4A33DAA0"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22.9</w:t>
            </w:r>
          </w:p>
        </w:tc>
        <w:tc>
          <w:tcPr>
            <w:tcW w:w="1298" w:type="dxa"/>
            <w:noWrap/>
            <w:hideMark/>
          </w:tcPr>
          <w:p w14:paraId="4256FA47" w14:textId="6D6A18EC"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sidRPr="00340CA5">
              <w:rPr>
                <w:b/>
                <w:color w:val="C00000"/>
              </w:rPr>
              <w:t>ne</w:t>
            </w:r>
          </w:p>
        </w:tc>
        <w:tc>
          <w:tcPr>
            <w:tcW w:w="851" w:type="dxa"/>
            <w:vAlign w:val="center"/>
          </w:tcPr>
          <w:p w14:paraId="30E56C88" w14:textId="6E057393"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FF0000"/>
                <w:sz w:val="20"/>
                <w:szCs w:val="20"/>
              </w:rPr>
              <w:t>0.53*</w:t>
            </w:r>
          </w:p>
        </w:tc>
      </w:tr>
      <w:tr w:rsidR="00340CA5" w:rsidRPr="00B21E23" w14:paraId="3710E44E" w14:textId="6C815E5E"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3EF00FDD" w14:textId="2141AFF0" w:rsidR="00340CA5" w:rsidRPr="00B21E23" w:rsidRDefault="00340CA5" w:rsidP="00340CA5">
            <w:r w:rsidRPr="000C4B4D">
              <w:rPr>
                <w:b w:val="0"/>
                <w:sz w:val="18"/>
              </w:rPr>
              <w:t>Výroba koksu a ropných produktů</w:t>
            </w:r>
          </w:p>
        </w:tc>
        <w:tc>
          <w:tcPr>
            <w:tcW w:w="1023" w:type="dxa"/>
            <w:noWrap/>
            <w:hideMark/>
          </w:tcPr>
          <w:p w14:paraId="1A9D71CC"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169.2</w:t>
            </w:r>
          </w:p>
        </w:tc>
        <w:tc>
          <w:tcPr>
            <w:tcW w:w="909" w:type="dxa"/>
            <w:noWrap/>
            <w:hideMark/>
          </w:tcPr>
          <w:p w14:paraId="252350CA"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109.9</w:t>
            </w:r>
          </w:p>
        </w:tc>
        <w:tc>
          <w:tcPr>
            <w:tcW w:w="683" w:type="dxa"/>
            <w:noWrap/>
            <w:hideMark/>
          </w:tcPr>
          <w:p w14:paraId="56DF1944"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25.7</w:t>
            </w:r>
          </w:p>
        </w:tc>
        <w:tc>
          <w:tcPr>
            <w:tcW w:w="718" w:type="dxa"/>
            <w:noWrap/>
            <w:hideMark/>
          </w:tcPr>
          <w:p w14:paraId="47D93545"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133.3</w:t>
            </w:r>
          </w:p>
        </w:tc>
        <w:tc>
          <w:tcPr>
            <w:tcW w:w="1298" w:type="dxa"/>
            <w:noWrap/>
            <w:hideMark/>
          </w:tcPr>
          <w:p w14:paraId="72DD83A9" w14:textId="77777777"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sidRPr="009F7284">
              <w:rPr>
                <w:b/>
                <w:color w:val="C00000"/>
              </w:rPr>
              <w:t>ne</w:t>
            </w:r>
          </w:p>
        </w:tc>
        <w:tc>
          <w:tcPr>
            <w:tcW w:w="851" w:type="dxa"/>
            <w:vAlign w:val="center"/>
          </w:tcPr>
          <w:p w14:paraId="3A0E287F" w14:textId="66839409"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color w:val="C00000"/>
              </w:rPr>
            </w:pPr>
            <w:r>
              <w:rPr>
                <w:rFonts w:ascii="Arial" w:hAnsi="Arial" w:cs="Arial"/>
                <w:color w:val="000000"/>
                <w:sz w:val="20"/>
                <w:szCs w:val="20"/>
              </w:rPr>
              <w:t>19.10</w:t>
            </w:r>
          </w:p>
        </w:tc>
      </w:tr>
      <w:tr w:rsidR="00340CA5" w:rsidRPr="00B21E23" w14:paraId="419B1DDE" w14:textId="4C345CCA"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1E134C32" w14:textId="618D6C27" w:rsidR="00340CA5" w:rsidRPr="00B21E23" w:rsidRDefault="00340CA5" w:rsidP="00340CA5">
            <w:r w:rsidRPr="000C4B4D">
              <w:rPr>
                <w:b w:val="0"/>
                <w:sz w:val="18"/>
              </w:rPr>
              <w:t>Výroba chemikálií a chemických výrobků</w:t>
            </w:r>
          </w:p>
        </w:tc>
        <w:tc>
          <w:tcPr>
            <w:tcW w:w="1023" w:type="dxa"/>
            <w:noWrap/>
            <w:hideMark/>
          </w:tcPr>
          <w:p w14:paraId="655ED50E"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37.8</w:t>
            </w:r>
          </w:p>
        </w:tc>
        <w:tc>
          <w:tcPr>
            <w:tcW w:w="909" w:type="dxa"/>
            <w:noWrap/>
            <w:hideMark/>
          </w:tcPr>
          <w:p w14:paraId="02207173"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26.6</w:t>
            </w:r>
          </w:p>
        </w:tc>
        <w:tc>
          <w:tcPr>
            <w:tcW w:w="683" w:type="dxa"/>
            <w:noWrap/>
            <w:hideMark/>
          </w:tcPr>
          <w:p w14:paraId="31AD09D1"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17.0</w:t>
            </w:r>
          </w:p>
        </w:tc>
        <w:tc>
          <w:tcPr>
            <w:tcW w:w="718" w:type="dxa"/>
            <w:noWrap/>
            <w:hideMark/>
          </w:tcPr>
          <w:p w14:paraId="565E63E1"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26.4</w:t>
            </w:r>
          </w:p>
        </w:tc>
        <w:tc>
          <w:tcPr>
            <w:tcW w:w="1298" w:type="dxa"/>
            <w:noWrap/>
            <w:hideMark/>
          </w:tcPr>
          <w:p w14:paraId="7E2A8E1E" w14:textId="7777777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sidRPr="009F7284">
              <w:rPr>
                <w:b/>
              </w:rPr>
              <w:t>ano</w:t>
            </w:r>
          </w:p>
        </w:tc>
        <w:tc>
          <w:tcPr>
            <w:tcW w:w="851" w:type="dxa"/>
            <w:vAlign w:val="center"/>
          </w:tcPr>
          <w:p w14:paraId="0FD88442" w14:textId="622FD26D"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FF0000"/>
                <w:sz w:val="20"/>
                <w:szCs w:val="20"/>
              </w:rPr>
              <w:t>-1.03*</w:t>
            </w:r>
          </w:p>
        </w:tc>
      </w:tr>
      <w:tr w:rsidR="00340CA5" w:rsidRPr="00B21E23" w14:paraId="2CE3F57C" w14:textId="00568769"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76D5A8FC" w14:textId="4CB60CA3" w:rsidR="00340CA5" w:rsidRPr="00B21E23" w:rsidRDefault="00340CA5" w:rsidP="00340CA5">
            <w:r w:rsidRPr="000C4B4D">
              <w:rPr>
                <w:b w:val="0"/>
                <w:sz w:val="18"/>
              </w:rPr>
              <w:t xml:space="preserve">Výroba  farmaceutických výrobků </w:t>
            </w:r>
          </w:p>
        </w:tc>
        <w:tc>
          <w:tcPr>
            <w:tcW w:w="1023" w:type="dxa"/>
            <w:noWrap/>
            <w:hideMark/>
          </w:tcPr>
          <w:p w14:paraId="7DC0B57E"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46.7</w:t>
            </w:r>
          </w:p>
        </w:tc>
        <w:tc>
          <w:tcPr>
            <w:tcW w:w="909" w:type="dxa"/>
            <w:noWrap/>
            <w:hideMark/>
          </w:tcPr>
          <w:p w14:paraId="64FF9CFB"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14.0</w:t>
            </w:r>
          </w:p>
        </w:tc>
        <w:tc>
          <w:tcPr>
            <w:tcW w:w="683" w:type="dxa"/>
            <w:noWrap/>
            <w:hideMark/>
          </w:tcPr>
          <w:p w14:paraId="3D362CEA"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39.5</w:t>
            </w:r>
          </w:p>
        </w:tc>
        <w:tc>
          <w:tcPr>
            <w:tcW w:w="718" w:type="dxa"/>
            <w:noWrap/>
            <w:hideMark/>
          </w:tcPr>
          <w:p w14:paraId="6265DDC7"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22.8</w:t>
            </w:r>
          </w:p>
        </w:tc>
        <w:tc>
          <w:tcPr>
            <w:tcW w:w="1298" w:type="dxa"/>
            <w:noWrap/>
            <w:hideMark/>
          </w:tcPr>
          <w:p w14:paraId="78FA1426" w14:textId="34CA3F22"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sidRPr="00340CA5">
              <w:rPr>
                <w:b/>
                <w:color w:val="C00000"/>
              </w:rPr>
              <w:t>ne</w:t>
            </w:r>
          </w:p>
        </w:tc>
        <w:tc>
          <w:tcPr>
            <w:tcW w:w="851" w:type="dxa"/>
            <w:vAlign w:val="center"/>
          </w:tcPr>
          <w:p w14:paraId="129579CD" w14:textId="1B5B5C72"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color w:val="000000"/>
                <w:sz w:val="20"/>
                <w:szCs w:val="20"/>
              </w:rPr>
              <w:t>0.48</w:t>
            </w:r>
          </w:p>
        </w:tc>
      </w:tr>
      <w:tr w:rsidR="00340CA5" w:rsidRPr="00B21E23" w14:paraId="2A6C8F50" w14:textId="0B6E58DC"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04D5D4E" w14:textId="190E3DCF" w:rsidR="00340CA5" w:rsidRPr="00B21E23" w:rsidRDefault="00340CA5" w:rsidP="00340CA5">
            <w:r w:rsidRPr="000C4B4D">
              <w:rPr>
                <w:b w:val="0"/>
                <w:sz w:val="18"/>
              </w:rPr>
              <w:t>Výroba plastových výrobků</w:t>
            </w:r>
          </w:p>
        </w:tc>
        <w:tc>
          <w:tcPr>
            <w:tcW w:w="1023" w:type="dxa"/>
            <w:noWrap/>
            <w:hideMark/>
          </w:tcPr>
          <w:p w14:paraId="73014935"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10.6</w:t>
            </w:r>
          </w:p>
        </w:tc>
        <w:tc>
          <w:tcPr>
            <w:tcW w:w="909" w:type="dxa"/>
            <w:noWrap/>
            <w:hideMark/>
          </w:tcPr>
          <w:p w14:paraId="13626839"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17.0</w:t>
            </w:r>
          </w:p>
        </w:tc>
        <w:tc>
          <w:tcPr>
            <w:tcW w:w="683" w:type="dxa"/>
            <w:noWrap/>
            <w:hideMark/>
          </w:tcPr>
          <w:p w14:paraId="414510D3"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25.7</w:t>
            </w:r>
          </w:p>
        </w:tc>
        <w:tc>
          <w:tcPr>
            <w:tcW w:w="718" w:type="dxa"/>
            <w:noWrap/>
            <w:hideMark/>
          </w:tcPr>
          <w:p w14:paraId="11A33863"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35.9</w:t>
            </w:r>
          </w:p>
        </w:tc>
        <w:tc>
          <w:tcPr>
            <w:tcW w:w="1298" w:type="dxa"/>
            <w:noWrap/>
            <w:hideMark/>
          </w:tcPr>
          <w:p w14:paraId="3DB6D740" w14:textId="7777777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color w:val="C00000"/>
              </w:rPr>
            </w:pPr>
            <w:r w:rsidRPr="009F7284">
              <w:rPr>
                <w:b/>
                <w:color w:val="C00000"/>
              </w:rPr>
              <w:t>ne</w:t>
            </w:r>
          </w:p>
        </w:tc>
        <w:tc>
          <w:tcPr>
            <w:tcW w:w="851" w:type="dxa"/>
            <w:vAlign w:val="center"/>
          </w:tcPr>
          <w:p w14:paraId="2353B849" w14:textId="1AF644C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color w:val="C00000"/>
              </w:rPr>
            </w:pPr>
            <w:r>
              <w:rPr>
                <w:rFonts w:ascii="Arial" w:hAnsi="Arial" w:cs="Arial"/>
                <w:color w:val="FF0000"/>
                <w:sz w:val="20"/>
                <w:szCs w:val="20"/>
              </w:rPr>
              <w:t>1.85</w:t>
            </w:r>
          </w:p>
        </w:tc>
      </w:tr>
      <w:tr w:rsidR="00340CA5" w:rsidRPr="00B21E23" w14:paraId="2A34CFFD" w14:textId="5DD195AD"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21C2BA78" w14:textId="2A47733F" w:rsidR="00340CA5" w:rsidRPr="00B21E23" w:rsidRDefault="00340CA5" w:rsidP="00340CA5">
            <w:r w:rsidRPr="000C4B4D">
              <w:rPr>
                <w:b w:val="0"/>
                <w:sz w:val="18"/>
              </w:rPr>
              <w:t>Výroba kovů a kovodělných výrobků</w:t>
            </w:r>
          </w:p>
        </w:tc>
        <w:tc>
          <w:tcPr>
            <w:tcW w:w="1023" w:type="dxa"/>
            <w:noWrap/>
            <w:hideMark/>
          </w:tcPr>
          <w:p w14:paraId="46784F3B"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31.4</w:t>
            </w:r>
          </w:p>
        </w:tc>
        <w:tc>
          <w:tcPr>
            <w:tcW w:w="909" w:type="dxa"/>
            <w:noWrap/>
            <w:hideMark/>
          </w:tcPr>
          <w:p w14:paraId="108468C6"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27.6</w:t>
            </w:r>
          </w:p>
        </w:tc>
        <w:tc>
          <w:tcPr>
            <w:tcW w:w="683" w:type="dxa"/>
            <w:noWrap/>
            <w:hideMark/>
          </w:tcPr>
          <w:p w14:paraId="42B41B58"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27.3</w:t>
            </w:r>
          </w:p>
        </w:tc>
        <w:tc>
          <w:tcPr>
            <w:tcW w:w="718" w:type="dxa"/>
            <w:noWrap/>
            <w:hideMark/>
          </w:tcPr>
          <w:p w14:paraId="1289C747"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38.1</w:t>
            </w:r>
          </w:p>
        </w:tc>
        <w:tc>
          <w:tcPr>
            <w:tcW w:w="1298" w:type="dxa"/>
            <w:noWrap/>
            <w:hideMark/>
          </w:tcPr>
          <w:p w14:paraId="4AAEAD22" w14:textId="77777777"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color w:val="C00000"/>
              </w:rPr>
            </w:pPr>
            <w:r w:rsidRPr="009F7284">
              <w:rPr>
                <w:b/>
                <w:color w:val="C00000"/>
              </w:rPr>
              <w:t>ne</w:t>
            </w:r>
          </w:p>
        </w:tc>
        <w:tc>
          <w:tcPr>
            <w:tcW w:w="851" w:type="dxa"/>
            <w:vAlign w:val="center"/>
          </w:tcPr>
          <w:p w14:paraId="4C67F300" w14:textId="74B94514"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color w:val="C00000"/>
              </w:rPr>
            </w:pPr>
            <w:r>
              <w:rPr>
                <w:rFonts w:ascii="Arial" w:hAnsi="Arial" w:cs="Arial"/>
                <w:color w:val="000000"/>
                <w:sz w:val="20"/>
                <w:szCs w:val="20"/>
              </w:rPr>
              <w:t>0.26</w:t>
            </w:r>
          </w:p>
        </w:tc>
      </w:tr>
      <w:tr w:rsidR="00340CA5" w:rsidRPr="00B21E23" w14:paraId="521D6EB0" w14:textId="4AE22915"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71BE032" w14:textId="7B24D8F4" w:rsidR="00340CA5" w:rsidRPr="00B21E23" w:rsidRDefault="00340CA5" w:rsidP="00340CA5">
            <w:r w:rsidRPr="000C4B4D">
              <w:rPr>
                <w:b w:val="0"/>
                <w:sz w:val="18"/>
              </w:rPr>
              <w:t>Výroba počítačových výrobků</w:t>
            </w:r>
          </w:p>
        </w:tc>
        <w:tc>
          <w:tcPr>
            <w:tcW w:w="1023" w:type="dxa"/>
            <w:noWrap/>
            <w:hideMark/>
          </w:tcPr>
          <w:p w14:paraId="1374BC5A"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68.3</w:t>
            </w:r>
          </w:p>
        </w:tc>
        <w:tc>
          <w:tcPr>
            <w:tcW w:w="909" w:type="dxa"/>
            <w:noWrap/>
            <w:hideMark/>
          </w:tcPr>
          <w:p w14:paraId="006A888A"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36.3</w:t>
            </w:r>
          </w:p>
        </w:tc>
        <w:tc>
          <w:tcPr>
            <w:tcW w:w="683" w:type="dxa"/>
            <w:noWrap/>
            <w:hideMark/>
          </w:tcPr>
          <w:p w14:paraId="1204C052"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51.0</w:t>
            </w:r>
          </w:p>
        </w:tc>
        <w:tc>
          <w:tcPr>
            <w:tcW w:w="718" w:type="dxa"/>
            <w:noWrap/>
            <w:hideMark/>
          </w:tcPr>
          <w:p w14:paraId="5B52C761"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39.6</w:t>
            </w:r>
          </w:p>
        </w:tc>
        <w:tc>
          <w:tcPr>
            <w:tcW w:w="1298" w:type="dxa"/>
            <w:noWrap/>
            <w:hideMark/>
          </w:tcPr>
          <w:p w14:paraId="11B7C56C" w14:textId="7777777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sidRPr="009F7284">
              <w:rPr>
                <w:b/>
              </w:rPr>
              <w:t>ano</w:t>
            </w:r>
          </w:p>
        </w:tc>
        <w:tc>
          <w:tcPr>
            <w:tcW w:w="851" w:type="dxa"/>
            <w:vAlign w:val="center"/>
          </w:tcPr>
          <w:p w14:paraId="614EDB8D" w14:textId="5FA87B88"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FF0000"/>
                <w:sz w:val="20"/>
                <w:szCs w:val="20"/>
              </w:rPr>
              <w:t>-1.28*</w:t>
            </w:r>
          </w:p>
        </w:tc>
      </w:tr>
      <w:tr w:rsidR="00340CA5" w:rsidRPr="00B21E23" w14:paraId="08F593A4" w14:textId="294990A8"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E2C4774" w14:textId="618FA840" w:rsidR="00340CA5" w:rsidRPr="00B21E23" w:rsidRDefault="00340CA5" w:rsidP="00340CA5">
            <w:r w:rsidRPr="000C4B4D">
              <w:rPr>
                <w:b w:val="0"/>
                <w:sz w:val="18"/>
              </w:rPr>
              <w:t>Výroba elektrických zařízení</w:t>
            </w:r>
          </w:p>
        </w:tc>
        <w:tc>
          <w:tcPr>
            <w:tcW w:w="1023" w:type="dxa"/>
            <w:noWrap/>
            <w:hideMark/>
          </w:tcPr>
          <w:p w14:paraId="13BE0E1A"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74.4</w:t>
            </w:r>
          </w:p>
        </w:tc>
        <w:tc>
          <w:tcPr>
            <w:tcW w:w="909" w:type="dxa"/>
            <w:noWrap/>
            <w:hideMark/>
          </w:tcPr>
          <w:p w14:paraId="7D2FB091"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31.3</w:t>
            </w:r>
          </w:p>
        </w:tc>
        <w:tc>
          <w:tcPr>
            <w:tcW w:w="683" w:type="dxa"/>
            <w:noWrap/>
            <w:hideMark/>
          </w:tcPr>
          <w:p w14:paraId="2995A290"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21.5</w:t>
            </w:r>
          </w:p>
        </w:tc>
        <w:tc>
          <w:tcPr>
            <w:tcW w:w="718" w:type="dxa"/>
            <w:noWrap/>
            <w:hideMark/>
          </w:tcPr>
          <w:p w14:paraId="6C8A39C3"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31.8</w:t>
            </w:r>
          </w:p>
        </w:tc>
        <w:tc>
          <w:tcPr>
            <w:tcW w:w="1298" w:type="dxa"/>
            <w:noWrap/>
            <w:hideMark/>
          </w:tcPr>
          <w:p w14:paraId="0DD6EAAC" w14:textId="77777777"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sidRPr="009F7284">
              <w:rPr>
                <w:b/>
              </w:rPr>
              <w:t>ano</w:t>
            </w:r>
          </w:p>
        </w:tc>
        <w:tc>
          <w:tcPr>
            <w:tcW w:w="851" w:type="dxa"/>
            <w:vAlign w:val="center"/>
          </w:tcPr>
          <w:p w14:paraId="063F4E1C" w14:textId="5D980BBD"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color w:val="FF0000"/>
                <w:sz w:val="20"/>
                <w:szCs w:val="20"/>
              </w:rPr>
              <w:t>-3.43*</w:t>
            </w:r>
          </w:p>
        </w:tc>
      </w:tr>
      <w:tr w:rsidR="00340CA5" w:rsidRPr="00B21E23" w14:paraId="5FB37607" w14:textId="45A429D1"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502DB52C" w14:textId="4AA1B891" w:rsidR="00340CA5" w:rsidRPr="00B21E23" w:rsidRDefault="00340CA5" w:rsidP="00340CA5">
            <w:r w:rsidRPr="000C4B4D">
              <w:rPr>
                <w:b w:val="0"/>
                <w:sz w:val="18"/>
              </w:rPr>
              <w:t>Výroba strojů a zařízení </w:t>
            </w:r>
          </w:p>
        </w:tc>
        <w:tc>
          <w:tcPr>
            <w:tcW w:w="1023" w:type="dxa"/>
            <w:noWrap/>
            <w:hideMark/>
          </w:tcPr>
          <w:p w14:paraId="048C347A"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12.9</w:t>
            </w:r>
          </w:p>
        </w:tc>
        <w:tc>
          <w:tcPr>
            <w:tcW w:w="909" w:type="dxa"/>
            <w:noWrap/>
            <w:hideMark/>
          </w:tcPr>
          <w:p w14:paraId="11C5D77B"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35.7</w:t>
            </w:r>
          </w:p>
        </w:tc>
        <w:tc>
          <w:tcPr>
            <w:tcW w:w="683" w:type="dxa"/>
            <w:noWrap/>
            <w:hideMark/>
          </w:tcPr>
          <w:p w14:paraId="6DE85522"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24.1</w:t>
            </w:r>
          </w:p>
        </w:tc>
        <w:tc>
          <w:tcPr>
            <w:tcW w:w="718" w:type="dxa"/>
            <w:noWrap/>
            <w:hideMark/>
          </w:tcPr>
          <w:p w14:paraId="0516F630"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11.3</w:t>
            </w:r>
          </w:p>
        </w:tc>
        <w:tc>
          <w:tcPr>
            <w:tcW w:w="1298" w:type="dxa"/>
            <w:noWrap/>
            <w:hideMark/>
          </w:tcPr>
          <w:p w14:paraId="5CEF343A" w14:textId="03181A83" w:rsidR="00340CA5" w:rsidRPr="00340CA5" w:rsidRDefault="00340CA5" w:rsidP="00340CA5">
            <w:pPr>
              <w:jc w:val="center"/>
              <w:cnfStyle w:val="000000100000" w:firstRow="0" w:lastRow="0" w:firstColumn="0" w:lastColumn="0" w:oddVBand="0" w:evenVBand="0" w:oddHBand="1" w:evenHBand="0" w:firstRowFirstColumn="0" w:firstRowLastColumn="0" w:lastRowFirstColumn="0" w:lastRowLastColumn="0"/>
              <w:rPr>
                <w:b/>
                <w:color w:val="C00000"/>
              </w:rPr>
            </w:pPr>
            <w:r w:rsidRPr="00340CA5">
              <w:rPr>
                <w:b/>
                <w:color w:val="000000" w:themeColor="text1"/>
              </w:rPr>
              <w:t>ano</w:t>
            </w:r>
          </w:p>
        </w:tc>
        <w:tc>
          <w:tcPr>
            <w:tcW w:w="851" w:type="dxa"/>
            <w:vAlign w:val="center"/>
          </w:tcPr>
          <w:p w14:paraId="45E4FFC2" w14:textId="4DE4CD9F"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000000"/>
                <w:sz w:val="20"/>
                <w:szCs w:val="20"/>
              </w:rPr>
              <w:t>-0.62</w:t>
            </w:r>
          </w:p>
        </w:tc>
      </w:tr>
      <w:tr w:rsidR="00340CA5" w:rsidRPr="00B21E23" w14:paraId="15FDF15B" w14:textId="7D347E3B" w:rsidTr="00340CA5">
        <w:trPr>
          <w:gridAfter w:val="1"/>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02C3C609" w14:textId="5E9F33F1" w:rsidR="00340CA5" w:rsidRPr="00B21E23" w:rsidRDefault="00340CA5" w:rsidP="00340CA5">
            <w:r w:rsidRPr="000C4B4D">
              <w:rPr>
                <w:b w:val="0"/>
                <w:sz w:val="18"/>
              </w:rPr>
              <w:t>Výroba motorových vozidel</w:t>
            </w:r>
          </w:p>
        </w:tc>
        <w:tc>
          <w:tcPr>
            <w:tcW w:w="1023" w:type="dxa"/>
            <w:noWrap/>
            <w:hideMark/>
          </w:tcPr>
          <w:p w14:paraId="2B90F26E"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41.7</w:t>
            </w:r>
          </w:p>
        </w:tc>
        <w:tc>
          <w:tcPr>
            <w:tcW w:w="909" w:type="dxa"/>
            <w:noWrap/>
            <w:hideMark/>
          </w:tcPr>
          <w:p w14:paraId="72B1316A"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32.1</w:t>
            </w:r>
          </w:p>
        </w:tc>
        <w:tc>
          <w:tcPr>
            <w:tcW w:w="683" w:type="dxa"/>
            <w:noWrap/>
            <w:hideMark/>
          </w:tcPr>
          <w:p w14:paraId="12C19CFB"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30.1</w:t>
            </w:r>
          </w:p>
        </w:tc>
        <w:tc>
          <w:tcPr>
            <w:tcW w:w="718" w:type="dxa"/>
            <w:noWrap/>
            <w:hideMark/>
          </w:tcPr>
          <w:p w14:paraId="28B00B32" w14:textId="77777777" w:rsidR="00340CA5" w:rsidRPr="00B21E23" w:rsidRDefault="00340CA5" w:rsidP="00340CA5">
            <w:pPr>
              <w:jc w:val="center"/>
              <w:cnfStyle w:val="000000000000" w:firstRow="0" w:lastRow="0" w:firstColumn="0" w:lastColumn="0" w:oddVBand="0" w:evenVBand="0" w:oddHBand="0" w:evenHBand="0" w:firstRowFirstColumn="0" w:firstRowLastColumn="0" w:lastRowFirstColumn="0" w:lastRowLastColumn="0"/>
            </w:pPr>
            <w:r w:rsidRPr="00B21E23">
              <w:t>36.4</w:t>
            </w:r>
          </w:p>
        </w:tc>
        <w:tc>
          <w:tcPr>
            <w:tcW w:w="1298" w:type="dxa"/>
            <w:noWrap/>
            <w:hideMark/>
          </w:tcPr>
          <w:p w14:paraId="04AA57FB" w14:textId="77777777"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sidRPr="009F7284">
              <w:rPr>
                <w:b/>
              </w:rPr>
              <w:t>ano</w:t>
            </w:r>
          </w:p>
        </w:tc>
        <w:tc>
          <w:tcPr>
            <w:tcW w:w="851" w:type="dxa"/>
            <w:vAlign w:val="center"/>
          </w:tcPr>
          <w:p w14:paraId="61DB8595" w14:textId="06FFE078" w:rsidR="00340CA5" w:rsidRPr="009F7284" w:rsidRDefault="00340CA5" w:rsidP="00340CA5">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color w:val="000000"/>
                <w:sz w:val="20"/>
                <w:szCs w:val="20"/>
              </w:rPr>
              <w:t>-0.53</w:t>
            </w:r>
          </w:p>
        </w:tc>
      </w:tr>
      <w:tr w:rsidR="00340CA5" w:rsidRPr="00B21E23" w14:paraId="31A4FF6D" w14:textId="3DA0918D" w:rsidTr="00340CA5">
        <w:trPr>
          <w:gridAfter w:val="1"/>
          <w:cnfStyle w:val="000000100000" w:firstRow="0" w:lastRow="0" w:firstColumn="0" w:lastColumn="0" w:oddVBand="0" w:evenVBand="0" w:oddHBand="1" w:evenHBand="0" w:firstRowFirstColumn="0" w:firstRowLastColumn="0" w:lastRowFirstColumn="0" w:lastRowLastColumn="0"/>
          <w:wAfter w:w="77" w:type="dxa"/>
          <w:trHeight w:val="300"/>
        </w:trPr>
        <w:tc>
          <w:tcPr>
            <w:cnfStyle w:val="001000000000" w:firstRow="0" w:lastRow="0" w:firstColumn="1" w:lastColumn="0" w:oddVBand="0" w:evenVBand="0" w:oddHBand="0" w:evenHBand="0" w:firstRowFirstColumn="0" w:firstRowLastColumn="0" w:lastRowFirstColumn="0" w:lastRowLastColumn="0"/>
            <w:tcW w:w="3650" w:type="dxa"/>
            <w:noWrap/>
            <w:hideMark/>
          </w:tcPr>
          <w:p w14:paraId="4A20FA3D" w14:textId="249C8CD1" w:rsidR="00340CA5" w:rsidRPr="00B21E23" w:rsidRDefault="00340CA5" w:rsidP="00340CA5">
            <w:r w:rsidRPr="000C4B4D">
              <w:rPr>
                <w:b w:val="0"/>
                <w:sz w:val="18"/>
              </w:rPr>
              <w:t>Výroba nábytku</w:t>
            </w:r>
          </w:p>
        </w:tc>
        <w:tc>
          <w:tcPr>
            <w:tcW w:w="1023" w:type="dxa"/>
            <w:noWrap/>
            <w:hideMark/>
          </w:tcPr>
          <w:p w14:paraId="6E2CC941"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25.3</w:t>
            </w:r>
          </w:p>
        </w:tc>
        <w:tc>
          <w:tcPr>
            <w:tcW w:w="909" w:type="dxa"/>
            <w:noWrap/>
            <w:hideMark/>
          </w:tcPr>
          <w:p w14:paraId="4731AD50"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18.9</w:t>
            </w:r>
          </w:p>
        </w:tc>
        <w:tc>
          <w:tcPr>
            <w:tcW w:w="683" w:type="dxa"/>
            <w:noWrap/>
            <w:hideMark/>
          </w:tcPr>
          <w:p w14:paraId="57D2A2B7"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15.8</w:t>
            </w:r>
          </w:p>
        </w:tc>
        <w:tc>
          <w:tcPr>
            <w:tcW w:w="718" w:type="dxa"/>
            <w:noWrap/>
            <w:hideMark/>
          </w:tcPr>
          <w:p w14:paraId="46B9195A" w14:textId="77777777" w:rsidR="00340CA5" w:rsidRPr="00B21E23" w:rsidRDefault="00340CA5" w:rsidP="00340CA5">
            <w:pPr>
              <w:jc w:val="center"/>
              <w:cnfStyle w:val="000000100000" w:firstRow="0" w:lastRow="0" w:firstColumn="0" w:lastColumn="0" w:oddVBand="0" w:evenVBand="0" w:oddHBand="1" w:evenHBand="0" w:firstRowFirstColumn="0" w:firstRowLastColumn="0" w:lastRowFirstColumn="0" w:lastRowLastColumn="0"/>
            </w:pPr>
            <w:r w:rsidRPr="00B21E23">
              <w:t>22.2</w:t>
            </w:r>
          </w:p>
        </w:tc>
        <w:tc>
          <w:tcPr>
            <w:tcW w:w="1298" w:type="dxa"/>
            <w:noWrap/>
            <w:hideMark/>
          </w:tcPr>
          <w:p w14:paraId="460E677D" w14:textId="77777777"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sidRPr="009F7284">
              <w:rPr>
                <w:b/>
              </w:rPr>
              <w:t>ano</w:t>
            </w:r>
          </w:p>
        </w:tc>
        <w:tc>
          <w:tcPr>
            <w:tcW w:w="851" w:type="dxa"/>
            <w:vAlign w:val="center"/>
          </w:tcPr>
          <w:p w14:paraId="53FCA1B1" w14:textId="21531178" w:rsidR="00340CA5" w:rsidRPr="009F7284" w:rsidRDefault="00340CA5" w:rsidP="00340CA5">
            <w:pPr>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color w:val="FF0000"/>
                <w:sz w:val="20"/>
                <w:szCs w:val="20"/>
              </w:rPr>
              <w:t>-0.70*</w:t>
            </w:r>
          </w:p>
        </w:tc>
      </w:tr>
    </w:tbl>
    <w:p w14:paraId="60E96A98" w14:textId="00EB81B3" w:rsidR="00340CA5" w:rsidRPr="00340CA5" w:rsidRDefault="00340CA5" w:rsidP="00340CA5">
      <w:pPr>
        <w:shd w:val="clear" w:color="auto" w:fill="FFFFFF"/>
        <w:spacing w:after="0" w:line="240" w:lineRule="auto"/>
        <w:rPr>
          <w:rFonts w:ascii="Times New Roman" w:eastAsia="Times New Roman" w:hAnsi="Times New Roman" w:cs="Times New Roman"/>
          <w:sz w:val="23"/>
          <w:szCs w:val="23"/>
          <w:lang w:val="en-GB" w:eastAsia="en-GB"/>
        </w:rPr>
      </w:pPr>
      <w:proofErr w:type="spellStart"/>
      <w:r w:rsidRPr="00340CA5">
        <w:rPr>
          <w:rFonts w:ascii="Times New Roman" w:eastAsia="Times New Roman" w:hAnsi="Times New Roman" w:cs="Times New Roman"/>
          <w:sz w:val="23"/>
          <w:szCs w:val="23"/>
          <w:lang w:val="en-GB" w:eastAsia="en-GB"/>
        </w:rPr>
        <w:t>Poznámka</w:t>
      </w:r>
      <w:proofErr w:type="spellEnd"/>
      <w:r w:rsidRPr="00340CA5">
        <w:rPr>
          <w:rFonts w:ascii="Times New Roman" w:eastAsia="Times New Roman" w:hAnsi="Times New Roman" w:cs="Times New Roman"/>
          <w:sz w:val="23"/>
          <w:szCs w:val="23"/>
          <w:lang w:val="en-GB" w:eastAsia="en-GB"/>
        </w:rPr>
        <w:t xml:space="preserve">: * </w:t>
      </w:r>
      <w:proofErr w:type="spellStart"/>
      <w:r w:rsidRPr="00340CA5">
        <w:rPr>
          <w:rFonts w:ascii="Times New Roman" w:eastAsia="Times New Roman" w:hAnsi="Times New Roman" w:cs="Times New Roman"/>
          <w:sz w:val="23"/>
          <w:szCs w:val="23"/>
          <w:lang w:val="en-GB" w:eastAsia="en-GB"/>
        </w:rPr>
        <w:t>směrnice</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trendu</w:t>
      </w:r>
      <w:proofErr w:type="spellEnd"/>
      <w:r w:rsidRPr="00340CA5">
        <w:rPr>
          <w:rFonts w:ascii="Times New Roman" w:eastAsia="Times New Roman" w:hAnsi="Times New Roman" w:cs="Times New Roman"/>
          <w:sz w:val="23"/>
          <w:szCs w:val="23"/>
          <w:lang w:val="en-GB" w:eastAsia="en-GB"/>
        </w:rPr>
        <w:t xml:space="preserve"> je </w:t>
      </w:r>
      <w:proofErr w:type="spellStart"/>
      <w:r w:rsidRPr="00340CA5">
        <w:rPr>
          <w:rFonts w:ascii="Times New Roman" w:eastAsia="Times New Roman" w:hAnsi="Times New Roman" w:cs="Times New Roman"/>
          <w:sz w:val="23"/>
          <w:szCs w:val="23"/>
          <w:lang w:val="en-GB" w:eastAsia="en-GB"/>
        </w:rPr>
        <w:t>statisticky</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významná</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na</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hladině</w:t>
      </w:r>
      <w:proofErr w:type="spellEnd"/>
      <w:r w:rsidRPr="00340CA5">
        <w:rPr>
          <w:rFonts w:ascii="Times New Roman" w:eastAsia="Times New Roman" w:hAnsi="Times New Roman" w:cs="Times New Roman"/>
          <w:sz w:val="23"/>
          <w:szCs w:val="23"/>
          <w:lang w:val="en-GB" w:eastAsia="en-GB"/>
        </w:rPr>
        <w:t xml:space="preserve"> α = 0</w:t>
      </w:r>
      <w:proofErr w:type="gramStart"/>
      <w:r w:rsidRPr="00340CA5">
        <w:rPr>
          <w:rFonts w:ascii="Times New Roman" w:eastAsia="Times New Roman" w:hAnsi="Times New Roman" w:cs="Times New Roman"/>
          <w:sz w:val="23"/>
          <w:szCs w:val="23"/>
          <w:lang w:val="en-GB" w:eastAsia="en-GB"/>
        </w:rPr>
        <w:t>,05</w:t>
      </w:r>
      <w:proofErr w:type="gramEnd"/>
      <w:r w:rsidRPr="00340CA5">
        <w:rPr>
          <w:rFonts w:ascii="Times New Roman" w:eastAsia="Times New Roman" w:hAnsi="Times New Roman" w:cs="Times New Roman"/>
          <w:sz w:val="23"/>
          <w:szCs w:val="23"/>
          <w:lang w:val="en-GB" w:eastAsia="en-GB"/>
        </w:rPr>
        <w:t>;</w:t>
      </w:r>
    </w:p>
    <w:p w14:paraId="61184BF0" w14:textId="7E2ED038" w:rsidR="00340CA5" w:rsidRPr="00340CA5" w:rsidRDefault="00340CA5" w:rsidP="00340CA5">
      <w:pPr>
        <w:shd w:val="clear" w:color="auto" w:fill="FFFFFF"/>
        <w:spacing w:after="0" w:line="240" w:lineRule="auto"/>
        <w:rPr>
          <w:rFonts w:ascii="Times New Roman" w:eastAsia="Times New Roman" w:hAnsi="Times New Roman" w:cs="Times New Roman"/>
          <w:sz w:val="23"/>
          <w:szCs w:val="23"/>
          <w:lang w:val="en-GB" w:eastAsia="en-GB"/>
        </w:rPr>
      </w:pPr>
      <w:proofErr w:type="spellStart"/>
      <w:r w:rsidRPr="00340CA5">
        <w:rPr>
          <w:rFonts w:ascii="Times New Roman" w:eastAsia="Times New Roman" w:hAnsi="Times New Roman" w:cs="Times New Roman"/>
          <w:sz w:val="23"/>
          <w:szCs w:val="23"/>
          <w:lang w:val="en-GB" w:eastAsia="en-GB"/>
        </w:rPr>
        <w:t>Zdroj</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vlastní</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zpracování</w:t>
      </w:r>
      <w:proofErr w:type="spellEnd"/>
      <w:r w:rsidRPr="00340CA5">
        <w:rPr>
          <w:rFonts w:ascii="Times New Roman" w:eastAsia="Times New Roman" w:hAnsi="Times New Roman" w:cs="Times New Roman"/>
          <w:sz w:val="23"/>
          <w:szCs w:val="23"/>
          <w:lang w:val="en-GB" w:eastAsia="en-GB"/>
        </w:rPr>
        <w:t xml:space="preserve"> s</w:t>
      </w:r>
      <w:r>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využitím</w:t>
      </w:r>
      <w:proofErr w:type="spellEnd"/>
      <w:r w:rsidRPr="00340CA5">
        <w:rPr>
          <w:rFonts w:ascii="Times New Roman" w:eastAsia="Times New Roman" w:hAnsi="Times New Roman" w:cs="Times New Roman"/>
          <w:sz w:val="23"/>
          <w:szCs w:val="23"/>
          <w:lang w:val="en-GB" w:eastAsia="en-GB"/>
        </w:rPr>
        <w:t xml:space="preserve"> </w:t>
      </w:r>
      <w:proofErr w:type="spellStart"/>
      <w:r w:rsidRPr="00340CA5">
        <w:rPr>
          <w:rFonts w:ascii="Times New Roman" w:eastAsia="Times New Roman" w:hAnsi="Times New Roman" w:cs="Times New Roman"/>
          <w:sz w:val="23"/>
          <w:szCs w:val="23"/>
          <w:lang w:val="en-GB" w:eastAsia="en-GB"/>
        </w:rPr>
        <w:t>dat</w:t>
      </w:r>
      <w:proofErr w:type="spellEnd"/>
      <w:r w:rsidRPr="00340CA5">
        <w:rPr>
          <w:rFonts w:ascii="Times New Roman" w:eastAsia="Times New Roman" w:hAnsi="Times New Roman" w:cs="Times New Roman"/>
          <w:sz w:val="23"/>
          <w:szCs w:val="23"/>
          <w:lang w:val="en-GB" w:eastAsia="en-GB"/>
        </w:rPr>
        <w:t xml:space="preserve"> </w:t>
      </w:r>
      <w:proofErr w:type="spellStart"/>
      <w:r>
        <w:rPr>
          <w:rFonts w:ascii="Times New Roman" w:eastAsia="Times New Roman" w:hAnsi="Times New Roman" w:cs="Times New Roman"/>
          <w:sz w:val="23"/>
          <w:szCs w:val="23"/>
          <w:lang w:val="en-GB" w:eastAsia="en-GB"/>
        </w:rPr>
        <w:t>Eurostatu</w:t>
      </w:r>
      <w:proofErr w:type="spellEnd"/>
      <w:r>
        <w:rPr>
          <w:rFonts w:ascii="Times New Roman" w:eastAsia="Times New Roman" w:hAnsi="Times New Roman" w:cs="Times New Roman"/>
          <w:sz w:val="23"/>
          <w:szCs w:val="23"/>
          <w:lang w:val="en-GB" w:eastAsia="en-GB"/>
        </w:rPr>
        <w:t xml:space="preserve"> </w:t>
      </w:r>
    </w:p>
    <w:p w14:paraId="5CE60C2B" w14:textId="238C64B4" w:rsidR="00340CA5" w:rsidRDefault="00340CA5" w:rsidP="0009563E">
      <w:pPr>
        <w:rPr>
          <w:b/>
          <w:bCs/>
        </w:rPr>
      </w:pPr>
      <w:r>
        <w:rPr>
          <w:b/>
          <w:bCs/>
        </w:rPr>
        <w:lastRenderedPageBreak/>
        <w:t>Efekt dohánění produktivity práce v průmyslu zemí V4 k německému průmyslu</w:t>
      </w:r>
    </w:p>
    <w:p w14:paraId="33457E55" w14:textId="5012490A" w:rsidR="00A23A3C" w:rsidRDefault="009B2AFB" w:rsidP="007A563E">
      <w:pPr>
        <w:jc w:val="both"/>
      </w:pPr>
      <w:r>
        <w:t xml:space="preserve">Další část uvedené stati se </w:t>
      </w:r>
      <w:proofErr w:type="gramStart"/>
      <w:r>
        <w:t>bude zabývá</w:t>
      </w:r>
      <w:proofErr w:type="gramEnd"/>
      <w:r>
        <w:t xml:space="preserve"> analýzou  doháněním</w:t>
      </w:r>
      <w:r w:rsidR="007A563E">
        <w:t xml:space="preserve"> </w:t>
      </w:r>
      <w:r>
        <w:t xml:space="preserve"> neboli jak se daří jednot</w:t>
      </w:r>
      <w:r w:rsidR="007A563E">
        <w:t xml:space="preserve">livým oddílům průmyslu v jednotlivých státech zemí V4 </w:t>
      </w:r>
      <w:r>
        <w:t xml:space="preserve"> dohánět produktivitu</w:t>
      </w:r>
      <w:r w:rsidR="007A563E">
        <w:t xml:space="preserve"> práce</w:t>
      </w:r>
      <w:r>
        <w:t xml:space="preserve"> Německého průmyslu.</w:t>
      </w:r>
      <w:r w:rsidR="007A563E">
        <w:t xml:space="preserve"> </w:t>
      </w:r>
      <w:r>
        <w:t xml:space="preserve">K vyjádření </w:t>
      </w:r>
      <w:r w:rsidR="007A563E">
        <w:t xml:space="preserve">dohánění bylo využito indexu TFP </w:t>
      </w:r>
      <w:proofErr w:type="spellStart"/>
      <w:r w:rsidR="007A563E">
        <w:t>catch</w:t>
      </w:r>
      <w:proofErr w:type="spellEnd"/>
      <w:r w:rsidR="007A563E">
        <w:t xml:space="preserve">-up index, který byl upraven na </w:t>
      </w:r>
      <w:r>
        <w:t xml:space="preserve"> produktivitu práce. </w:t>
      </w:r>
    </w:p>
    <w:p w14:paraId="444ED672" w14:textId="77777777" w:rsidR="00A579DD" w:rsidRDefault="00A579DD" w:rsidP="00A579DD">
      <w:pPr>
        <w:jc w:val="both"/>
      </w:pPr>
      <w:r>
        <w:t xml:space="preserve">Jakou rychlostí docházelo v průběhu sledovaného období k dohánění produktivity můžeme vidět v následující tabulce, která nám poskytuje pohled jak jednotlivé země V4 v průměru každý rok se snaží dostihnout Německou úroveň.  Vyjma Maďarska předstih reálného růstu zemí V4 před Německým růstem pohybuje na více jak 5 %. </w:t>
      </w:r>
    </w:p>
    <w:p w14:paraId="6DB7A53A" w14:textId="77777777" w:rsidR="00A579DD" w:rsidRDefault="00A579DD" w:rsidP="00A579DD">
      <w:r>
        <w:t>Tabulka č. X: Srovnání úrovně a dynamiky produktivity práce s průměrem Německa v % (DE = 100%)</w:t>
      </w:r>
    </w:p>
    <w:tbl>
      <w:tblPr>
        <w:tblStyle w:val="Tmavtabulkasmkou5zvraznn1"/>
        <w:tblW w:w="8999" w:type="dxa"/>
        <w:tblLook w:val="04A0" w:firstRow="1" w:lastRow="0" w:firstColumn="1" w:lastColumn="0" w:noHBand="0" w:noVBand="1"/>
      </w:tblPr>
      <w:tblGrid>
        <w:gridCol w:w="1481"/>
        <w:gridCol w:w="1481"/>
        <w:gridCol w:w="1481"/>
        <w:gridCol w:w="1481"/>
        <w:gridCol w:w="1481"/>
        <w:gridCol w:w="1594"/>
      </w:tblGrid>
      <w:tr w:rsidR="00A579DD" w:rsidRPr="00501E75" w14:paraId="67C2BD14" w14:textId="77777777" w:rsidTr="00A579DD">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481" w:type="dxa"/>
            <w:noWrap/>
            <w:hideMark/>
          </w:tcPr>
          <w:p w14:paraId="394A89FF"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 </w:t>
            </w:r>
          </w:p>
        </w:tc>
        <w:tc>
          <w:tcPr>
            <w:tcW w:w="1481" w:type="dxa"/>
            <w:hideMark/>
          </w:tcPr>
          <w:p w14:paraId="7B9CD313"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LP 2004</w:t>
            </w:r>
          </w:p>
          <w:p w14:paraId="4A5A7F21"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 (DE = 100%)</w:t>
            </w:r>
          </w:p>
        </w:tc>
        <w:tc>
          <w:tcPr>
            <w:tcW w:w="1481" w:type="dxa"/>
            <w:hideMark/>
          </w:tcPr>
          <w:p w14:paraId="0CCBFF51"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LP 2019 </w:t>
            </w:r>
          </w:p>
          <w:p w14:paraId="090E703D"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(DE = 100%)</w:t>
            </w:r>
          </w:p>
        </w:tc>
        <w:tc>
          <w:tcPr>
            <w:tcW w:w="1481" w:type="dxa"/>
            <w:noWrap/>
            <w:hideMark/>
          </w:tcPr>
          <w:p w14:paraId="09F49547"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rozdíl</w:t>
            </w:r>
          </w:p>
        </w:tc>
        <w:tc>
          <w:tcPr>
            <w:tcW w:w="1481" w:type="dxa"/>
            <w:hideMark/>
          </w:tcPr>
          <w:p w14:paraId="070F725A"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Prům. reálný růst</w:t>
            </w:r>
          </w:p>
          <w:p w14:paraId="76A2AAF4"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 (2004 - 2019)</w:t>
            </w:r>
          </w:p>
        </w:tc>
        <w:tc>
          <w:tcPr>
            <w:tcW w:w="1594" w:type="dxa"/>
            <w:hideMark/>
          </w:tcPr>
          <w:p w14:paraId="59853EB0"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Předstih reálného růstu</w:t>
            </w:r>
          </w:p>
        </w:tc>
      </w:tr>
      <w:tr w:rsidR="00A579DD" w:rsidRPr="00501E75" w14:paraId="18AA6A64"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34DC8B9F"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CZ</w:t>
            </w:r>
          </w:p>
        </w:tc>
        <w:tc>
          <w:tcPr>
            <w:tcW w:w="1481" w:type="dxa"/>
            <w:noWrap/>
            <w:hideMark/>
          </w:tcPr>
          <w:p w14:paraId="0BE5270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40.77</w:t>
            </w:r>
          </w:p>
        </w:tc>
        <w:tc>
          <w:tcPr>
            <w:tcW w:w="1481" w:type="dxa"/>
            <w:noWrap/>
            <w:hideMark/>
          </w:tcPr>
          <w:p w14:paraId="71182B2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55.39</w:t>
            </w:r>
          </w:p>
        </w:tc>
        <w:tc>
          <w:tcPr>
            <w:tcW w:w="1481" w:type="dxa"/>
            <w:noWrap/>
            <w:hideMark/>
          </w:tcPr>
          <w:p w14:paraId="473DA7E1"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+14.62</w:t>
            </w:r>
          </w:p>
        </w:tc>
        <w:tc>
          <w:tcPr>
            <w:tcW w:w="1481" w:type="dxa"/>
            <w:noWrap/>
            <w:hideMark/>
          </w:tcPr>
          <w:p w14:paraId="235E3BAE"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6.68</w:t>
            </w:r>
          </w:p>
        </w:tc>
        <w:tc>
          <w:tcPr>
            <w:tcW w:w="1594" w:type="dxa"/>
            <w:noWrap/>
            <w:hideMark/>
          </w:tcPr>
          <w:p w14:paraId="71244CFD"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5.25</w:t>
            </w:r>
          </w:p>
        </w:tc>
      </w:tr>
      <w:tr w:rsidR="00A579DD" w:rsidRPr="00501E75" w14:paraId="313CF364" w14:textId="77777777" w:rsidTr="00A579DD">
        <w:trPr>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5CC04822"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HU</w:t>
            </w:r>
          </w:p>
        </w:tc>
        <w:tc>
          <w:tcPr>
            <w:tcW w:w="1481" w:type="dxa"/>
            <w:noWrap/>
            <w:hideMark/>
          </w:tcPr>
          <w:p w14:paraId="579C16F8"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29.36</w:t>
            </w:r>
          </w:p>
        </w:tc>
        <w:tc>
          <w:tcPr>
            <w:tcW w:w="1481" w:type="dxa"/>
            <w:noWrap/>
            <w:hideMark/>
          </w:tcPr>
          <w:p w14:paraId="1A2A0109"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32.51</w:t>
            </w:r>
          </w:p>
        </w:tc>
        <w:tc>
          <w:tcPr>
            <w:tcW w:w="1481" w:type="dxa"/>
            <w:noWrap/>
            <w:hideMark/>
          </w:tcPr>
          <w:p w14:paraId="5876810C"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+3.16</w:t>
            </w:r>
          </w:p>
        </w:tc>
        <w:tc>
          <w:tcPr>
            <w:tcW w:w="1481" w:type="dxa"/>
            <w:noWrap/>
            <w:hideMark/>
          </w:tcPr>
          <w:p w14:paraId="55418DD6"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2.30</w:t>
            </w:r>
          </w:p>
        </w:tc>
        <w:tc>
          <w:tcPr>
            <w:tcW w:w="1594" w:type="dxa"/>
            <w:noWrap/>
            <w:hideMark/>
          </w:tcPr>
          <w:p w14:paraId="4EEB3AD6"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0.87</w:t>
            </w:r>
          </w:p>
        </w:tc>
      </w:tr>
      <w:tr w:rsidR="00A579DD" w:rsidRPr="00501E75" w14:paraId="7D5E1828"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0A522065"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PL</w:t>
            </w:r>
          </w:p>
        </w:tc>
        <w:tc>
          <w:tcPr>
            <w:tcW w:w="1481" w:type="dxa"/>
            <w:noWrap/>
            <w:hideMark/>
          </w:tcPr>
          <w:p w14:paraId="0BB166BC"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19.73</w:t>
            </w:r>
          </w:p>
        </w:tc>
        <w:tc>
          <w:tcPr>
            <w:tcW w:w="1481" w:type="dxa"/>
            <w:noWrap/>
            <w:hideMark/>
          </w:tcPr>
          <w:p w14:paraId="2FBEFBE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33.60</w:t>
            </w:r>
          </w:p>
        </w:tc>
        <w:tc>
          <w:tcPr>
            <w:tcW w:w="1481" w:type="dxa"/>
            <w:noWrap/>
            <w:hideMark/>
          </w:tcPr>
          <w:p w14:paraId="4CD3DE29"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+13.87</w:t>
            </w:r>
          </w:p>
        </w:tc>
        <w:tc>
          <w:tcPr>
            <w:tcW w:w="1481" w:type="dxa"/>
            <w:noWrap/>
            <w:hideMark/>
          </w:tcPr>
          <w:p w14:paraId="76FE98A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7.12</w:t>
            </w:r>
          </w:p>
        </w:tc>
        <w:tc>
          <w:tcPr>
            <w:tcW w:w="1594" w:type="dxa"/>
            <w:noWrap/>
            <w:hideMark/>
          </w:tcPr>
          <w:p w14:paraId="2033C6C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5.69</w:t>
            </w:r>
          </w:p>
        </w:tc>
      </w:tr>
      <w:tr w:rsidR="00A579DD" w:rsidRPr="00501E75" w14:paraId="352C78DB" w14:textId="77777777" w:rsidTr="00A579DD">
        <w:trPr>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1DD1C280"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SK</w:t>
            </w:r>
          </w:p>
        </w:tc>
        <w:tc>
          <w:tcPr>
            <w:tcW w:w="1481" w:type="dxa"/>
            <w:noWrap/>
            <w:hideMark/>
          </w:tcPr>
          <w:p w14:paraId="131F67AB"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24.87</w:t>
            </w:r>
          </w:p>
        </w:tc>
        <w:tc>
          <w:tcPr>
            <w:tcW w:w="1481" w:type="dxa"/>
            <w:noWrap/>
            <w:hideMark/>
          </w:tcPr>
          <w:p w14:paraId="36D8C351"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45.73</w:t>
            </w:r>
          </w:p>
        </w:tc>
        <w:tc>
          <w:tcPr>
            <w:tcW w:w="1481" w:type="dxa"/>
            <w:noWrap/>
            <w:hideMark/>
          </w:tcPr>
          <w:p w14:paraId="34C9DD1B"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+20.85</w:t>
            </w:r>
          </w:p>
        </w:tc>
        <w:tc>
          <w:tcPr>
            <w:tcW w:w="1481" w:type="dxa"/>
            <w:noWrap/>
            <w:hideMark/>
          </w:tcPr>
          <w:p w14:paraId="3F34371D"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8.21</w:t>
            </w:r>
          </w:p>
        </w:tc>
        <w:tc>
          <w:tcPr>
            <w:tcW w:w="1594" w:type="dxa"/>
            <w:noWrap/>
            <w:hideMark/>
          </w:tcPr>
          <w:p w14:paraId="5133395D"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6.78</w:t>
            </w:r>
          </w:p>
        </w:tc>
      </w:tr>
      <w:tr w:rsidR="00A579DD" w:rsidRPr="00501E75" w14:paraId="516565C0"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06253BC2"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EU 28</w:t>
            </w:r>
          </w:p>
        </w:tc>
        <w:tc>
          <w:tcPr>
            <w:tcW w:w="1481" w:type="dxa"/>
            <w:noWrap/>
            <w:hideMark/>
          </w:tcPr>
          <w:p w14:paraId="5D723EE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76.36</w:t>
            </w:r>
          </w:p>
        </w:tc>
        <w:tc>
          <w:tcPr>
            <w:tcW w:w="1481" w:type="dxa"/>
            <w:noWrap/>
            <w:hideMark/>
          </w:tcPr>
          <w:p w14:paraId="02E4951E"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82.17</w:t>
            </w:r>
          </w:p>
        </w:tc>
        <w:tc>
          <w:tcPr>
            <w:tcW w:w="1481" w:type="dxa"/>
            <w:noWrap/>
            <w:hideMark/>
          </w:tcPr>
          <w:p w14:paraId="163947EA"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+5.81</w:t>
            </w:r>
          </w:p>
        </w:tc>
        <w:tc>
          <w:tcPr>
            <w:tcW w:w="1481" w:type="dxa"/>
            <w:noWrap/>
            <w:hideMark/>
          </w:tcPr>
          <w:p w14:paraId="2E888F56"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2.04</w:t>
            </w:r>
          </w:p>
        </w:tc>
        <w:tc>
          <w:tcPr>
            <w:tcW w:w="1594" w:type="dxa"/>
            <w:noWrap/>
            <w:hideMark/>
          </w:tcPr>
          <w:p w14:paraId="47EFB0F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0.62</w:t>
            </w:r>
          </w:p>
        </w:tc>
      </w:tr>
    </w:tbl>
    <w:p w14:paraId="35B4A200" w14:textId="6888E4C3" w:rsidR="00A579DD" w:rsidRDefault="00A579DD" w:rsidP="0009563E"/>
    <w:p w14:paraId="64C2670F" w14:textId="5A0B7A38" w:rsidR="00315DF1" w:rsidRDefault="00D47D98" w:rsidP="0009563E">
      <w:r w:rsidRPr="00D47D98">
        <w:t>Výkon dohánění jednotlivých průmyslu jednotlivých státu V4  k průměru Německa  je zobrazen na obrázku č. X</w:t>
      </w:r>
      <w:r w:rsidR="00F512BC">
        <w:t xml:space="preserve">.  Můžeme zde vidět, přibližování k průměru Německa vyznačené oranžovou čárou (DE = 100 %)  dochází, ale tempo růstu produktivity práce je sice vysoké, ale nutné podotkou, že i tempo růstu Německých podniků není nízké. </w:t>
      </w:r>
    </w:p>
    <w:p w14:paraId="2A9B89AD" w14:textId="77777777" w:rsidR="00315DF1" w:rsidRDefault="00315DF1" w:rsidP="0009563E"/>
    <w:p w14:paraId="4F11CA40" w14:textId="03D22C95" w:rsidR="00477E98" w:rsidRDefault="00590661" w:rsidP="0009563E">
      <w:r>
        <w:t>Graf č. X: Ukazatel dohán</w:t>
      </w:r>
      <w:r w:rsidR="000A5F1C">
        <w:t xml:space="preserve">ění produktivity práce (LP </w:t>
      </w:r>
      <w:proofErr w:type="spellStart"/>
      <w:r w:rsidR="000A5F1C">
        <w:t>catch</w:t>
      </w:r>
      <w:proofErr w:type="spellEnd"/>
      <w:r w:rsidR="000A5F1C">
        <w:t>-</w:t>
      </w:r>
      <w:r>
        <w:t xml:space="preserve">up </w:t>
      </w:r>
      <w:proofErr w:type="gramStart"/>
      <w:r>
        <w:t>index ) v zemích</w:t>
      </w:r>
      <w:proofErr w:type="gramEnd"/>
      <w:r>
        <w:t xml:space="preserve"> V4</w:t>
      </w:r>
    </w:p>
    <w:p w14:paraId="7888E119" w14:textId="77777777" w:rsidR="00477E98" w:rsidRDefault="00477E98" w:rsidP="0009563E">
      <w:r>
        <w:rPr>
          <w:noProof/>
          <w:lang w:eastAsia="cs-CZ"/>
        </w:rPr>
        <w:lastRenderedPageBreak/>
        <w:drawing>
          <wp:inline distT="0" distB="0" distL="0" distR="0" wp14:anchorId="519576A9" wp14:editId="6DF60E01">
            <wp:extent cx="5760720" cy="3709035"/>
            <wp:effectExtent l="0" t="0" r="11430" b="571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C3B05E" w14:textId="21E9E19F" w:rsidR="00315DF1" w:rsidRDefault="00315DF1" w:rsidP="00924209">
      <w:pPr>
        <w:jc w:val="both"/>
      </w:pPr>
      <w:r>
        <w:t>Na základě velikosti původní mezery  a za pomocí metodiky</w:t>
      </w:r>
      <w:r w:rsidR="007A563E">
        <w:t xml:space="preserve"> uvedené v metodice </w:t>
      </w:r>
      <w:r>
        <w:t xml:space="preserve"> jsou vymezeny </w:t>
      </w:r>
      <w:r w:rsidR="007A563E">
        <w:t xml:space="preserve">4 typy dohánění, tedy  předhánění produktivity, rychlé dohánění, pomalé dohánění a růst mezery. Pokud využijeme tuto metodiku pouze na odvětví průmyslu jako celek, vyjma Maďarska, ostatní státy země V4 rychle dohání v produktivitě práce německý průmysl. Tento výsledek je, ale velmi zjednodušující neboť nezohledňuje jednotlivé průmyslové oddíly, které mohou mít  a mají odlišný vývoj. Touto analýzou se bude zabývat další část této práce.  </w:t>
      </w:r>
    </w:p>
    <w:p w14:paraId="7004FED7" w14:textId="6D8A54D6" w:rsidR="00315DF1" w:rsidRDefault="007A563E" w:rsidP="0009563E">
      <w:r>
        <w:t xml:space="preserve">Tabulka </w:t>
      </w:r>
      <w:proofErr w:type="spellStart"/>
      <w:proofErr w:type="gramStart"/>
      <w:r>
        <w:t>č.X</w:t>
      </w:r>
      <w:proofErr w:type="spellEnd"/>
      <w:r>
        <w:t>:</w:t>
      </w:r>
      <w:proofErr w:type="gramEnd"/>
      <w:r>
        <w:t xml:space="preserve"> Rozdělení států dle typu přibližování </w:t>
      </w:r>
    </w:p>
    <w:tbl>
      <w:tblPr>
        <w:tblStyle w:val="Tmavtabulkasmkou5zvraznn1"/>
        <w:tblW w:w="0" w:type="auto"/>
        <w:tblLook w:val="04A0" w:firstRow="1" w:lastRow="0" w:firstColumn="1" w:lastColumn="0" w:noHBand="0" w:noVBand="1"/>
      </w:tblPr>
      <w:tblGrid>
        <w:gridCol w:w="1797"/>
        <w:gridCol w:w="771"/>
        <w:gridCol w:w="771"/>
        <w:gridCol w:w="771"/>
        <w:gridCol w:w="771"/>
        <w:gridCol w:w="1218"/>
        <w:gridCol w:w="1363"/>
        <w:gridCol w:w="1600"/>
      </w:tblGrid>
      <w:tr w:rsidR="00315DF1" w:rsidRPr="00315DF1" w14:paraId="59C9C5DE" w14:textId="77777777" w:rsidTr="00315DF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2743FB4" w14:textId="77777777" w:rsidR="00315DF1" w:rsidRPr="00315DF1" w:rsidRDefault="00315DF1">
            <w:r w:rsidRPr="00315DF1">
              <w:t> </w:t>
            </w:r>
          </w:p>
        </w:tc>
        <w:tc>
          <w:tcPr>
            <w:tcW w:w="1060" w:type="dxa"/>
            <w:noWrap/>
            <w:hideMark/>
          </w:tcPr>
          <w:p w14:paraId="50BCC823"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2004</w:t>
            </w:r>
          </w:p>
        </w:tc>
        <w:tc>
          <w:tcPr>
            <w:tcW w:w="1060" w:type="dxa"/>
            <w:noWrap/>
            <w:hideMark/>
          </w:tcPr>
          <w:p w14:paraId="7556C832"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2009</w:t>
            </w:r>
          </w:p>
        </w:tc>
        <w:tc>
          <w:tcPr>
            <w:tcW w:w="1060" w:type="dxa"/>
            <w:noWrap/>
            <w:hideMark/>
          </w:tcPr>
          <w:p w14:paraId="1D4B0C12"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2014</w:t>
            </w:r>
          </w:p>
        </w:tc>
        <w:tc>
          <w:tcPr>
            <w:tcW w:w="1060" w:type="dxa"/>
            <w:noWrap/>
            <w:hideMark/>
          </w:tcPr>
          <w:p w14:paraId="631AC336"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2018</w:t>
            </w:r>
          </w:p>
        </w:tc>
        <w:tc>
          <w:tcPr>
            <w:tcW w:w="1740" w:type="dxa"/>
            <w:noWrap/>
            <w:hideMark/>
          </w:tcPr>
          <w:p w14:paraId="14BFE30F"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 xml:space="preserve">Pokles mezery </w:t>
            </w:r>
          </w:p>
        </w:tc>
        <w:tc>
          <w:tcPr>
            <w:tcW w:w="1960" w:type="dxa"/>
            <w:noWrap/>
            <w:hideMark/>
          </w:tcPr>
          <w:p w14:paraId="20767444"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Původní mezera</w:t>
            </w:r>
          </w:p>
        </w:tc>
        <w:tc>
          <w:tcPr>
            <w:tcW w:w="2320" w:type="dxa"/>
            <w:noWrap/>
            <w:hideMark/>
          </w:tcPr>
          <w:p w14:paraId="7B5728EB"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 xml:space="preserve">Typ dohání </w:t>
            </w:r>
          </w:p>
        </w:tc>
      </w:tr>
      <w:tr w:rsidR="00315DF1" w:rsidRPr="00315DF1" w14:paraId="3337BD54" w14:textId="77777777" w:rsidTr="00315D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2CB8B14A" w14:textId="77777777" w:rsidR="00315DF1" w:rsidRPr="00315DF1" w:rsidRDefault="00315DF1">
            <w:r w:rsidRPr="00315DF1">
              <w:t>Česko</w:t>
            </w:r>
          </w:p>
        </w:tc>
        <w:tc>
          <w:tcPr>
            <w:tcW w:w="1060" w:type="dxa"/>
            <w:noWrap/>
            <w:hideMark/>
          </w:tcPr>
          <w:p w14:paraId="44761CFA"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25.80</w:t>
            </w:r>
          </w:p>
        </w:tc>
        <w:tc>
          <w:tcPr>
            <w:tcW w:w="1060" w:type="dxa"/>
            <w:noWrap/>
            <w:hideMark/>
          </w:tcPr>
          <w:p w14:paraId="02428C66"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39.27</w:t>
            </w:r>
          </w:p>
        </w:tc>
        <w:tc>
          <w:tcPr>
            <w:tcW w:w="1060" w:type="dxa"/>
            <w:noWrap/>
            <w:hideMark/>
          </w:tcPr>
          <w:p w14:paraId="4E10D5E8"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35.88</w:t>
            </w:r>
          </w:p>
        </w:tc>
        <w:tc>
          <w:tcPr>
            <w:tcW w:w="1060" w:type="dxa"/>
            <w:noWrap/>
            <w:hideMark/>
          </w:tcPr>
          <w:p w14:paraId="76EB0F9B"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38.83</w:t>
            </w:r>
          </w:p>
        </w:tc>
        <w:tc>
          <w:tcPr>
            <w:tcW w:w="1740" w:type="dxa"/>
            <w:noWrap/>
            <w:hideMark/>
          </w:tcPr>
          <w:p w14:paraId="32C2947C"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13.03</w:t>
            </w:r>
          </w:p>
        </w:tc>
        <w:tc>
          <w:tcPr>
            <w:tcW w:w="1960" w:type="dxa"/>
            <w:noWrap/>
            <w:hideMark/>
          </w:tcPr>
          <w:p w14:paraId="6DC73787"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74.20</w:t>
            </w:r>
          </w:p>
        </w:tc>
        <w:tc>
          <w:tcPr>
            <w:tcW w:w="2320" w:type="dxa"/>
            <w:noWrap/>
            <w:hideMark/>
          </w:tcPr>
          <w:p w14:paraId="0EAA381F"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Rychlé dohánění</w:t>
            </w:r>
          </w:p>
        </w:tc>
      </w:tr>
      <w:tr w:rsidR="00315DF1" w:rsidRPr="00315DF1" w14:paraId="7F71C8FB" w14:textId="77777777" w:rsidTr="00315DF1">
        <w:trPr>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7C66FE9A" w14:textId="77777777" w:rsidR="00315DF1" w:rsidRPr="00315DF1" w:rsidRDefault="00315DF1">
            <w:r w:rsidRPr="00315DF1">
              <w:t>Maďarko</w:t>
            </w:r>
          </w:p>
        </w:tc>
        <w:tc>
          <w:tcPr>
            <w:tcW w:w="1060" w:type="dxa"/>
            <w:noWrap/>
            <w:hideMark/>
          </w:tcPr>
          <w:p w14:paraId="164257E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29.36</w:t>
            </w:r>
          </w:p>
        </w:tc>
        <w:tc>
          <w:tcPr>
            <w:tcW w:w="1060" w:type="dxa"/>
            <w:noWrap/>
            <w:hideMark/>
          </w:tcPr>
          <w:p w14:paraId="0A32F96F"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35.29</w:t>
            </w:r>
          </w:p>
        </w:tc>
        <w:tc>
          <w:tcPr>
            <w:tcW w:w="1060" w:type="dxa"/>
            <w:noWrap/>
            <w:hideMark/>
          </w:tcPr>
          <w:p w14:paraId="6097D9DC"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31.27</w:t>
            </w:r>
          </w:p>
        </w:tc>
        <w:tc>
          <w:tcPr>
            <w:tcW w:w="1060" w:type="dxa"/>
            <w:noWrap/>
            <w:hideMark/>
          </w:tcPr>
          <w:p w14:paraId="3C8DB22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30.75</w:t>
            </w:r>
          </w:p>
        </w:tc>
        <w:tc>
          <w:tcPr>
            <w:tcW w:w="1740" w:type="dxa"/>
            <w:noWrap/>
            <w:hideMark/>
          </w:tcPr>
          <w:p w14:paraId="22F844DB"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1.40</w:t>
            </w:r>
          </w:p>
        </w:tc>
        <w:tc>
          <w:tcPr>
            <w:tcW w:w="1960" w:type="dxa"/>
            <w:noWrap/>
            <w:hideMark/>
          </w:tcPr>
          <w:p w14:paraId="2976525D"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70.64</w:t>
            </w:r>
          </w:p>
        </w:tc>
        <w:tc>
          <w:tcPr>
            <w:tcW w:w="2320" w:type="dxa"/>
            <w:noWrap/>
            <w:hideMark/>
          </w:tcPr>
          <w:p w14:paraId="3B42743B"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Pomalé dohánění</w:t>
            </w:r>
          </w:p>
        </w:tc>
      </w:tr>
      <w:tr w:rsidR="00315DF1" w:rsidRPr="00315DF1" w14:paraId="512763BC" w14:textId="77777777" w:rsidTr="00315D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B384550" w14:textId="77777777" w:rsidR="00315DF1" w:rsidRPr="00315DF1" w:rsidRDefault="00315DF1">
            <w:r w:rsidRPr="00315DF1">
              <w:t>Polsko</w:t>
            </w:r>
          </w:p>
        </w:tc>
        <w:tc>
          <w:tcPr>
            <w:tcW w:w="1060" w:type="dxa"/>
            <w:noWrap/>
            <w:hideMark/>
          </w:tcPr>
          <w:p w14:paraId="48C7D8EA"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19.73</w:t>
            </w:r>
          </w:p>
        </w:tc>
        <w:tc>
          <w:tcPr>
            <w:tcW w:w="1060" w:type="dxa"/>
            <w:noWrap/>
            <w:hideMark/>
          </w:tcPr>
          <w:p w14:paraId="35D97475"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28.90</w:t>
            </w:r>
          </w:p>
        </w:tc>
        <w:tc>
          <w:tcPr>
            <w:tcW w:w="1060" w:type="dxa"/>
            <w:noWrap/>
            <w:hideMark/>
          </w:tcPr>
          <w:p w14:paraId="7255721C"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29.46</w:t>
            </w:r>
          </w:p>
        </w:tc>
        <w:tc>
          <w:tcPr>
            <w:tcW w:w="1060" w:type="dxa"/>
            <w:noWrap/>
            <w:hideMark/>
          </w:tcPr>
          <w:p w14:paraId="5307928F"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29.73</w:t>
            </w:r>
          </w:p>
        </w:tc>
        <w:tc>
          <w:tcPr>
            <w:tcW w:w="1740" w:type="dxa"/>
            <w:noWrap/>
            <w:hideMark/>
          </w:tcPr>
          <w:p w14:paraId="648E517D"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10.01</w:t>
            </w:r>
          </w:p>
        </w:tc>
        <w:tc>
          <w:tcPr>
            <w:tcW w:w="1960" w:type="dxa"/>
            <w:noWrap/>
            <w:hideMark/>
          </w:tcPr>
          <w:p w14:paraId="42D90492"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80.27</w:t>
            </w:r>
          </w:p>
        </w:tc>
        <w:tc>
          <w:tcPr>
            <w:tcW w:w="2320" w:type="dxa"/>
            <w:noWrap/>
            <w:hideMark/>
          </w:tcPr>
          <w:p w14:paraId="1A913EEA"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Rychlé dohánění</w:t>
            </w:r>
          </w:p>
        </w:tc>
      </w:tr>
      <w:tr w:rsidR="00315DF1" w:rsidRPr="00315DF1" w14:paraId="795CFFBE" w14:textId="77777777" w:rsidTr="00315DF1">
        <w:trPr>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F29FD22" w14:textId="77777777" w:rsidR="00315DF1" w:rsidRPr="00315DF1" w:rsidRDefault="00315DF1">
            <w:r w:rsidRPr="00315DF1">
              <w:t>Slovensko</w:t>
            </w:r>
          </w:p>
        </w:tc>
        <w:tc>
          <w:tcPr>
            <w:tcW w:w="1060" w:type="dxa"/>
            <w:noWrap/>
            <w:hideMark/>
          </w:tcPr>
          <w:p w14:paraId="38E0F963"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24.87</w:t>
            </w:r>
          </w:p>
        </w:tc>
        <w:tc>
          <w:tcPr>
            <w:tcW w:w="1060" w:type="dxa"/>
            <w:noWrap/>
            <w:hideMark/>
          </w:tcPr>
          <w:p w14:paraId="29CC2481"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34.29</w:t>
            </w:r>
          </w:p>
        </w:tc>
        <w:tc>
          <w:tcPr>
            <w:tcW w:w="1060" w:type="dxa"/>
            <w:noWrap/>
            <w:hideMark/>
          </w:tcPr>
          <w:p w14:paraId="17A1450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42.36</w:t>
            </w:r>
          </w:p>
        </w:tc>
        <w:tc>
          <w:tcPr>
            <w:tcW w:w="1060" w:type="dxa"/>
            <w:noWrap/>
            <w:hideMark/>
          </w:tcPr>
          <w:p w14:paraId="20E1E10E"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44.69</w:t>
            </w:r>
          </w:p>
        </w:tc>
        <w:tc>
          <w:tcPr>
            <w:tcW w:w="1740" w:type="dxa"/>
            <w:noWrap/>
            <w:hideMark/>
          </w:tcPr>
          <w:p w14:paraId="1483A2D1"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19.82</w:t>
            </w:r>
          </w:p>
        </w:tc>
        <w:tc>
          <w:tcPr>
            <w:tcW w:w="1960" w:type="dxa"/>
            <w:noWrap/>
            <w:hideMark/>
          </w:tcPr>
          <w:p w14:paraId="1909DF67"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75.13</w:t>
            </w:r>
          </w:p>
        </w:tc>
        <w:tc>
          <w:tcPr>
            <w:tcW w:w="2320" w:type="dxa"/>
            <w:noWrap/>
            <w:hideMark/>
          </w:tcPr>
          <w:p w14:paraId="2ACC4417"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Rychlé dohánění</w:t>
            </w:r>
          </w:p>
        </w:tc>
      </w:tr>
    </w:tbl>
    <w:p w14:paraId="51B2A336" w14:textId="4D2C2861" w:rsidR="00315DF1" w:rsidRDefault="00315DF1" w:rsidP="0009563E"/>
    <w:p w14:paraId="3216024E" w14:textId="116347DA" w:rsidR="00315DF1" w:rsidRDefault="00315DF1" w:rsidP="0009563E"/>
    <w:p w14:paraId="28C81DAF" w14:textId="202791DA" w:rsidR="00315DF1" w:rsidRDefault="00315DF1" w:rsidP="0009563E"/>
    <w:p w14:paraId="2913126B" w14:textId="74B8965A" w:rsidR="00315DF1" w:rsidRDefault="00315DF1" w:rsidP="0009563E"/>
    <w:p w14:paraId="686CF13B" w14:textId="366F4C0F" w:rsidR="00315DF1" w:rsidRDefault="00315DF1" w:rsidP="0009563E"/>
    <w:p w14:paraId="66C5BD4E" w14:textId="4AFC3BB7" w:rsidR="00315DF1" w:rsidRDefault="00315DF1" w:rsidP="0009563E"/>
    <w:p w14:paraId="47AF1C8A" w14:textId="03A4C3B0" w:rsidR="00590661" w:rsidRDefault="00590661" w:rsidP="00590661">
      <w:pPr>
        <w:rPr>
          <w:b/>
          <w:bCs/>
        </w:rPr>
      </w:pPr>
      <w:r w:rsidRPr="00147414">
        <w:rPr>
          <w:b/>
          <w:bCs/>
        </w:rPr>
        <w:lastRenderedPageBreak/>
        <w:t xml:space="preserve">Dohánění jednotlivých oddílů průmyslu </w:t>
      </w:r>
      <w:r w:rsidR="00A277FF">
        <w:rPr>
          <w:b/>
          <w:bCs/>
        </w:rPr>
        <w:t xml:space="preserve"> </w:t>
      </w:r>
    </w:p>
    <w:p w14:paraId="62F3F07B" w14:textId="1BE27E8B" w:rsidR="00A277FF" w:rsidRPr="00BE675D" w:rsidRDefault="00A277FF" w:rsidP="00DC4776">
      <w:pPr>
        <w:jc w:val="both"/>
        <w:rPr>
          <w:bCs/>
        </w:rPr>
      </w:pPr>
      <w:r>
        <w:rPr>
          <w:b/>
          <w:bCs/>
        </w:rPr>
        <w:t xml:space="preserve"> </w:t>
      </w:r>
      <w:r w:rsidR="00BE675D">
        <w:rPr>
          <w:bCs/>
        </w:rPr>
        <w:t>Následující bodový graf nám poskytuje informaci ohledně dohánění produktivity jednotlivých průmyslových odvětví k průměru  Německým podniků.</w:t>
      </w:r>
      <w:r w:rsidR="00DC4776">
        <w:rPr>
          <w:bCs/>
        </w:rPr>
        <w:t xml:space="preserve"> Lze  zde vidět skupinu odvětví sic</w:t>
      </w:r>
      <w:r w:rsidR="00EA705A">
        <w:rPr>
          <w:bCs/>
        </w:rPr>
        <w:t>e s vysokou počáteční úrovní</w:t>
      </w:r>
      <w:r w:rsidR="00DC4776">
        <w:rPr>
          <w:bCs/>
        </w:rPr>
        <w:t xml:space="preserve">, ale současně s rychlým růstem -  výroba strojů a zařízení, výroba počítačů a výroba elektrických zařízení.  </w:t>
      </w:r>
      <w:r w:rsidR="00EA705A">
        <w:rPr>
          <w:bCs/>
        </w:rPr>
        <w:t>Na druhé straně je zde skupina průmyslových oddílů</w:t>
      </w:r>
      <w:r w:rsidR="00DC4776">
        <w:rPr>
          <w:bCs/>
        </w:rPr>
        <w:t xml:space="preserve"> výrazně nižší mezerou produktivity, ale současně s nízkým tempem v dohánění produktivity práce – petrochemický průmysl, výroba koksu, ropných produktů a překvapivě výroba motorových vozidel. </w:t>
      </w:r>
      <w:r w:rsidR="00924209">
        <w:rPr>
          <w:bCs/>
        </w:rPr>
        <w:t xml:space="preserve"> Je zde nutné upozornit, že pozice mezery v čase znamená, že dané odvětví zvýšilo svůj růstu na úroveň daného německého odvětví. </w:t>
      </w:r>
    </w:p>
    <w:p w14:paraId="753D4A55" w14:textId="732C349A" w:rsidR="003E15D0" w:rsidRDefault="003E15D0" w:rsidP="003E15D0">
      <w:r>
        <w:t>Graf č. X: Dohánění produktivity práce v oddílech průmyslu v zemích V4</w:t>
      </w:r>
      <w:r w:rsidR="00924209">
        <w:t xml:space="preserve"> (2004 – 2018)</w:t>
      </w:r>
    </w:p>
    <w:p w14:paraId="11F6B889" w14:textId="6C9333E7" w:rsidR="00A277FF" w:rsidRPr="00147414" w:rsidRDefault="00A277FF" w:rsidP="00590661">
      <w:pPr>
        <w:rPr>
          <w:b/>
          <w:bCs/>
        </w:rPr>
      </w:pPr>
      <w:r>
        <w:object w:dxaOrig="9226" w:dyaOrig="5415" w14:anchorId="41120D40">
          <v:shape id="_x0000_i1026" type="#_x0000_t75" style="width:462pt;height:270pt" o:ole="">
            <v:imagedata r:id="rId24" o:title=""/>
          </v:shape>
          <o:OLEObject Type="Embed" ProgID="STATISTICA.Graph" ShapeID="_x0000_i1026" DrawAspect="Content" ObjectID="_1694186010" r:id="rId25">
            <o:FieldCodes>\s</o:FieldCodes>
          </o:OLEObject>
        </w:object>
      </w:r>
    </w:p>
    <w:p w14:paraId="20FD4B7E" w14:textId="77777777" w:rsidR="008C58B4" w:rsidRPr="00C84BDA" w:rsidRDefault="008C58B4" w:rsidP="008C58B4">
      <w:pPr>
        <w:jc w:val="both"/>
        <w:rPr>
          <w:sz w:val="20"/>
        </w:rPr>
      </w:pPr>
      <w:r>
        <w:rPr>
          <w:sz w:val="20"/>
        </w:rPr>
        <w:t xml:space="preserve">Poznámka: </w:t>
      </w:r>
      <w:r w:rsidRPr="00C84BDA">
        <w:rPr>
          <w:sz w:val="20"/>
        </w:rPr>
        <w:t>1 Výroba potravinářských výrobků, 2 Výroba textilu, 3 Výroba dřeva a papíru, 4 Výroba koksu a ropných produktů, 5 Výroba chemikálií a chemických výrobků, 6 Výroba farmaceutických výrobků, 7 Výroba plastových výrobků, 8 Výroba kovů a kovodělných výrobků, 9 Výroba počítačových výrobků, 10 Výroba elektrických zařízení, 11 Výroba strojů a zařízení, 12 Výroba motorových vozidel, 13 Výroba nábytku</w:t>
      </w:r>
    </w:p>
    <w:p w14:paraId="33560568" w14:textId="77777777" w:rsidR="008C58B4" w:rsidRPr="00BE675D" w:rsidRDefault="008C58B4" w:rsidP="008C58B4">
      <w:pPr>
        <w:jc w:val="both"/>
        <w:rPr>
          <w:bCs/>
        </w:rPr>
      </w:pPr>
      <w:r>
        <w:rPr>
          <w:bCs/>
        </w:rPr>
        <w:t xml:space="preserve">Malá změna mezery u automobilového průmyslu tedy neznamená nízký růstu produktivity práce v čase, ale růst produktivity, který pouze mírně převyšuje růst produktivity práce v automobilovém průmyslu v Německu. Naopak u  odvětví výroby počítačů, elektrických zařízení a strojů růst produktivity výrazně převyšuje růst produktivity práce Německa a podstatně snižuje mezeru v produktivitě. </w:t>
      </w:r>
    </w:p>
    <w:p w14:paraId="04614362" w14:textId="7C7FF55C" w:rsidR="00DC4776" w:rsidRDefault="00DC4776" w:rsidP="0009563E"/>
    <w:p w14:paraId="53F4B857" w14:textId="6E50CD6D" w:rsidR="00EE74C3" w:rsidRDefault="00EE74C3" w:rsidP="0009563E"/>
    <w:p w14:paraId="2CE5B70D" w14:textId="03AC294B" w:rsidR="00EE74C3" w:rsidRDefault="00EE74C3" w:rsidP="0009563E"/>
    <w:p w14:paraId="7EB8E53A" w14:textId="163EF11C" w:rsidR="00EE74C3" w:rsidRDefault="00EE74C3" w:rsidP="0009563E"/>
    <w:p w14:paraId="07B48F93" w14:textId="34F4AA0F" w:rsidR="00EE74C3" w:rsidRDefault="00EE74C3" w:rsidP="0009563E"/>
    <w:p w14:paraId="7797A3E3" w14:textId="184567B1" w:rsidR="000A5F1C" w:rsidRDefault="000A5F1C" w:rsidP="000A5F1C">
      <w:pPr>
        <w:jc w:val="both"/>
      </w:pPr>
      <w:r>
        <w:lastRenderedPageBreak/>
        <w:t xml:space="preserve">Alternativní vyjádřením dohánění je využít index dohánění upravený na produktivitu práce. Následující  graf č. X  nám vyjadřuje dle tohoto ukazatele, které z oddílu průmyslu se nejvíce přibližují k německým odvětvím. </w:t>
      </w:r>
    </w:p>
    <w:p w14:paraId="4DF1D34C" w14:textId="31845FA3" w:rsidR="00EE74C3" w:rsidRDefault="00EE74C3" w:rsidP="00EE74C3">
      <w:r>
        <w:t xml:space="preserve">Graf č. X: Velikost LP </w:t>
      </w:r>
      <w:proofErr w:type="spellStart"/>
      <w:r>
        <w:t>catch</w:t>
      </w:r>
      <w:proofErr w:type="spellEnd"/>
      <w:r>
        <w:t xml:space="preserve">-up indexu </w:t>
      </w:r>
      <w:r w:rsidR="000A5F1C">
        <w:t>za rok 2004, 2018 za oddíly průmyslu v V4</w:t>
      </w:r>
    </w:p>
    <w:p w14:paraId="3B0B6EA7" w14:textId="604E06D3" w:rsidR="00EE74C3" w:rsidRDefault="000A5F1C" w:rsidP="0009563E">
      <w:r>
        <w:rPr>
          <w:noProof/>
          <w:lang w:eastAsia="cs-CZ"/>
        </w:rPr>
        <w:drawing>
          <wp:inline distT="0" distB="0" distL="0" distR="0" wp14:anchorId="2C68BFD2" wp14:editId="4E4F7794">
            <wp:extent cx="5859780" cy="2743200"/>
            <wp:effectExtent l="0" t="0" r="762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0AD09E" w14:textId="77777777" w:rsidR="000A5F1C" w:rsidRPr="00C84BDA" w:rsidRDefault="000A5F1C" w:rsidP="000A5F1C">
      <w:pPr>
        <w:jc w:val="both"/>
        <w:rPr>
          <w:sz w:val="20"/>
        </w:rPr>
      </w:pPr>
      <w:r>
        <w:rPr>
          <w:sz w:val="20"/>
        </w:rPr>
        <w:t xml:space="preserve">Poznámka: </w:t>
      </w:r>
      <w:r w:rsidRPr="00C84BDA">
        <w:rPr>
          <w:sz w:val="20"/>
        </w:rPr>
        <w:t>1 Výroba potravinářských výrobků, 2 Výroba textilu, 3 Výroba dřeva a papíru, 4 Výroba koksu a ropných produktů, 5 Výroba chemikálií a chemických výrobků, 6 Výroba farmaceutických výrobků, 7 Výroba plastových výrobků, 8 Výroba kovů a kovodělných výrobků, 9 Výroba počítačových výrobků, 10 Výroba elektrických zařízení, 11 Výroba strojů a zařízení, 12 Výroba motorových vozidel, 13 Výroba nábytku</w:t>
      </w:r>
    </w:p>
    <w:p w14:paraId="160E6B3B" w14:textId="77777777" w:rsidR="00924209" w:rsidRDefault="00924209" w:rsidP="003E15D0">
      <w:pPr>
        <w:jc w:val="both"/>
      </w:pPr>
    </w:p>
    <w:p w14:paraId="649BC8BD" w14:textId="7B640B6C" w:rsidR="009B2AFB" w:rsidRDefault="00924209" w:rsidP="003E15D0">
      <w:pPr>
        <w:jc w:val="both"/>
      </w:pPr>
      <w:r>
        <w:t>Následující g</w:t>
      </w:r>
      <w:r w:rsidR="009B2AFB">
        <w:t>raf</w:t>
      </w:r>
      <w:r w:rsidR="003E15D0">
        <w:t xml:space="preserve"> </w:t>
      </w:r>
      <w:r>
        <w:t xml:space="preserve">číslo X </w:t>
      </w:r>
      <w:r w:rsidR="003E15D0">
        <w:t>je již orientová</w:t>
      </w:r>
      <w:r>
        <w:t>n na konkrétní průmyslové oddíly v  jednotlivých státech</w:t>
      </w:r>
      <w:r w:rsidR="003E15D0">
        <w:t xml:space="preserve"> V4. </w:t>
      </w:r>
      <w:r w:rsidR="009B2AFB">
        <w:t xml:space="preserve"> </w:t>
      </w:r>
      <w:r w:rsidR="003E15D0">
        <w:t xml:space="preserve">Graf zobrazuje </w:t>
      </w:r>
      <w:r w:rsidR="009B2AFB">
        <w:t xml:space="preserve"> vztah mezi velikostí původní hodnoty mezery produktivity práce a změnou mezery produktivity práce v čase.</w:t>
      </w:r>
      <w:r w:rsidR="00914C7D">
        <w:t xml:space="preserve">  Zejména výsledky za odvětví  v</w:t>
      </w:r>
      <w:r w:rsidR="00914C7D" w:rsidRPr="00914C7D">
        <w:t>ýroba koksu a rafinovaných ropných produktů</w:t>
      </w:r>
      <w:r w:rsidR="00914C7D">
        <w:t xml:space="preserve"> (4) se vyznačují velkou variabilitou výsledků a často jsou mimo směr ostatních oddílů.  </w:t>
      </w:r>
    </w:p>
    <w:p w14:paraId="7CDAE1C5" w14:textId="77777777" w:rsidR="004772EF" w:rsidRDefault="004772EF" w:rsidP="004772EF">
      <w:r>
        <w:t xml:space="preserve">Graf č. X: Ukazatel dohánění produktivity práce (LP </w:t>
      </w:r>
      <w:proofErr w:type="spellStart"/>
      <w:r>
        <w:t>catch</w:t>
      </w:r>
      <w:proofErr w:type="spellEnd"/>
      <w:r>
        <w:t xml:space="preserve"> up </w:t>
      </w:r>
      <w:proofErr w:type="gramStart"/>
      <w:r>
        <w:t>index ) v zemích</w:t>
      </w:r>
      <w:proofErr w:type="gramEnd"/>
      <w:r>
        <w:t xml:space="preserve"> V4</w:t>
      </w:r>
    </w:p>
    <w:p w14:paraId="1917841E" w14:textId="224555F8" w:rsidR="004772EF" w:rsidRDefault="004772EF" w:rsidP="0009563E">
      <w:pPr>
        <w:rPr>
          <w:noProof/>
          <w:lang w:val="en-GB" w:eastAsia="en-GB"/>
        </w:rPr>
      </w:pPr>
      <w:r>
        <w:object w:dxaOrig="9660" w:dyaOrig="7254" w14:anchorId="12B2F893">
          <v:shape id="_x0000_i1027" type="#_x0000_t75" style="width:486pt;height:366pt" o:ole="">
            <v:imagedata r:id="rId27" o:title=""/>
          </v:shape>
          <o:OLEObject Type="Embed" ProgID="STATISTICA.Graph" ShapeID="_x0000_i1027" DrawAspect="Content" ObjectID="_1694186011" r:id="rId28">
            <o:FieldCodes>\s</o:FieldCodes>
          </o:OLEObject>
        </w:object>
      </w:r>
    </w:p>
    <w:p w14:paraId="2960AD08" w14:textId="77777777" w:rsidR="004772EF" w:rsidRDefault="004772EF" w:rsidP="0009563E"/>
    <w:p w14:paraId="2998F217" w14:textId="77777777" w:rsidR="00477E98" w:rsidRPr="00477E98" w:rsidRDefault="00914C7D" w:rsidP="00477E98">
      <w:r>
        <w:t xml:space="preserve">Uvedenou obrázek je čistě ilustrativní díky velkému počtu odvětví. Může zde vidět, že zejména mezi odvětvími, kde dochází k vysokému růstu nad 10 % nížení mezery můžeme zařadit 3 </w:t>
      </w:r>
      <w:r w:rsidR="00477E98">
        <w:t>oddíly</w:t>
      </w:r>
      <w:r>
        <w:t xml:space="preserve">, která zde dominantně převažují a to </w:t>
      </w:r>
      <w:r w:rsidR="00477E98">
        <w:t>vý</w:t>
      </w:r>
      <w:r w:rsidRPr="00477E98">
        <w:t>roba elektrických zařízení</w:t>
      </w:r>
      <w:r w:rsidR="00477E98" w:rsidRPr="00477E98">
        <w:t xml:space="preserve"> (č.10), Výroba strojů a zařízení (č.11) a výroba pryžových a plastových výrobků (č.7).  Z hlediska zemí největší počet oddílů průmyslu, který překročil 10 % ve snížení mezery je Polsko (8 oddílů) a Česká republika (7 oddílů). </w:t>
      </w:r>
    </w:p>
    <w:tbl>
      <w:tblPr>
        <w:tblStyle w:val="Svtltabulkasmkou1zvraznn1"/>
        <w:tblW w:w="9487" w:type="dxa"/>
        <w:tblLook w:val="04A0" w:firstRow="1" w:lastRow="0" w:firstColumn="1" w:lastColumn="0" w:noHBand="0" w:noVBand="1"/>
      </w:tblPr>
      <w:tblGrid>
        <w:gridCol w:w="4035"/>
        <w:gridCol w:w="5452"/>
      </w:tblGrid>
      <w:tr w:rsidR="00BA0421" w:rsidRPr="00BA0421" w14:paraId="0F296A60" w14:textId="77777777" w:rsidTr="002833BD">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035" w:type="dxa"/>
            <w:noWrap/>
            <w:hideMark/>
          </w:tcPr>
          <w:p w14:paraId="473297EC" w14:textId="77777777" w:rsidR="00BA0421" w:rsidRPr="00BA0421" w:rsidRDefault="00BA0421" w:rsidP="00BA0421">
            <w:pPr>
              <w:spacing w:line="240" w:lineRule="auto"/>
              <w:rPr>
                <w:rFonts w:ascii="Calibri" w:eastAsia="Times New Roman" w:hAnsi="Calibri" w:cs="Calibri"/>
                <w:color w:val="000000"/>
                <w:lang w:eastAsia="cs-CZ"/>
              </w:rPr>
            </w:pPr>
            <w:r w:rsidRPr="00BA0421">
              <w:rPr>
                <w:rFonts w:ascii="Calibri" w:eastAsia="Times New Roman" w:hAnsi="Calibri" w:cs="Calibri"/>
                <w:color w:val="000000"/>
                <w:lang w:eastAsia="cs-CZ"/>
              </w:rPr>
              <w:t>Typ dohánění</w:t>
            </w:r>
          </w:p>
        </w:tc>
        <w:tc>
          <w:tcPr>
            <w:tcW w:w="5452" w:type="dxa"/>
            <w:noWrap/>
            <w:hideMark/>
          </w:tcPr>
          <w:p w14:paraId="7AFB20E2" w14:textId="6F5F2617" w:rsidR="00BA0421" w:rsidRPr="00BA0421" w:rsidRDefault="00BA0421" w:rsidP="00BA0421">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Pr>
                <w:rFonts w:ascii="Calibri" w:eastAsia="Times New Roman" w:hAnsi="Calibri" w:cs="Calibri"/>
                <w:color w:val="000000"/>
                <w:lang w:eastAsia="cs-CZ"/>
              </w:rPr>
              <w:t>Zařaze</w:t>
            </w:r>
            <w:r w:rsidRPr="00BA0421">
              <w:rPr>
                <w:rFonts w:ascii="Calibri" w:eastAsia="Times New Roman" w:hAnsi="Calibri" w:cs="Calibri"/>
                <w:color w:val="000000"/>
                <w:lang w:eastAsia="cs-CZ"/>
              </w:rPr>
              <w:t xml:space="preserve">né oddíly průmyslu </w:t>
            </w:r>
          </w:p>
        </w:tc>
      </w:tr>
      <w:tr w:rsidR="00BA0421" w:rsidRPr="00BA0421" w14:paraId="4FEEB714" w14:textId="77777777" w:rsidTr="002833BD">
        <w:trPr>
          <w:trHeight w:val="182"/>
        </w:trPr>
        <w:tc>
          <w:tcPr>
            <w:cnfStyle w:val="001000000000" w:firstRow="0" w:lastRow="0" w:firstColumn="1" w:lastColumn="0" w:oddVBand="0" w:evenVBand="0" w:oddHBand="0" w:evenHBand="0" w:firstRowFirstColumn="0" w:firstRowLastColumn="0" w:lastRowFirstColumn="0" w:lastRowLastColumn="0"/>
            <w:tcW w:w="4035" w:type="dxa"/>
            <w:noWrap/>
            <w:hideMark/>
          </w:tcPr>
          <w:p w14:paraId="42E2AA7C" w14:textId="77777777" w:rsidR="00BA0421" w:rsidRPr="00BA0421" w:rsidRDefault="00BA0421" w:rsidP="00BA0421">
            <w:pPr>
              <w:spacing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Předbíhání</w:t>
            </w:r>
          </w:p>
        </w:tc>
        <w:tc>
          <w:tcPr>
            <w:tcW w:w="5452" w:type="dxa"/>
            <w:noWrap/>
            <w:hideMark/>
          </w:tcPr>
          <w:p w14:paraId="0CB32713" w14:textId="77777777" w:rsidR="00BA0421" w:rsidRPr="00BA0421" w:rsidRDefault="00BA0421" w:rsidP="00BA0421">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SK4</w:t>
            </w:r>
          </w:p>
        </w:tc>
      </w:tr>
      <w:tr w:rsidR="00BA0421" w:rsidRPr="00BA0421" w14:paraId="08DC57B0" w14:textId="77777777" w:rsidTr="002833BD">
        <w:trPr>
          <w:trHeight w:val="182"/>
        </w:trPr>
        <w:tc>
          <w:tcPr>
            <w:cnfStyle w:val="001000000000" w:firstRow="0" w:lastRow="0" w:firstColumn="1" w:lastColumn="0" w:oddVBand="0" w:evenVBand="0" w:oddHBand="0" w:evenHBand="0" w:firstRowFirstColumn="0" w:firstRowLastColumn="0" w:lastRowFirstColumn="0" w:lastRowLastColumn="0"/>
            <w:tcW w:w="4035" w:type="dxa"/>
            <w:noWrap/>
            <w:hideMark/>
          </w:tcPr>
          <w:p w14:paraId="13F2566E" w14:textId="77777777" w:rsidR="00BA0421" w:rsidRPr="00BA0421" w:rsidRDefault="00BA0421" w:rsidP="00BA0421">
            <w:pPr>
              <w:spacing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Rychlé dohánění</w:t>
            </w:r>
          </w:p>
        </w:tc>
        <w:tc>
          <w:tcPr>
            <w:tcW w:w="5452" w:type="dxa"/>
            <w:noWrap/>
            <w:hideMark/>
          </w:tcPr>
          <w:p w14:paraId="52EA7D78" w14:textId="6AFBC370" w:rsidR="00BA0421" w:rsidRPr="00BA0421" w:rsidRDefault="00BA0421" w:rsidP="00BA0421">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CZ10</w:t>
            </w:r>
            <w:r w:rsidRPr="00BA0421">
              <w:rPr>
                <w:rFonts w:ascii="Calibri" w:eastAsia="Times New Roman" w:hAnsi="Calibri" w:cs="Calibri"/>
                <w:b/>
                <w:bCs/>
                <w:color w:val="000000"/>
                <w:lang w:eastAsia="cs-CZ"/>
              </w:rPr>
              <w:tab/>
              <w:t>CZ11</w:t>
            </w:r>
            <w:r w:rsidRPr="00BA0421">
              <w:rPr>
                <w:rFonts w:ascii="Calibri" w:eastAsia="Times New Roman" w:hAnsi="Calibri" w:cs="Calibri"/>
                <w:b/>
                <w:bCs/>
                <w:color w:val="000000"/>
                <w:lang w:eastAsia="cs-CZ"/>
              </w:rPr>
              <w:tab/>
              <w:t>CZ13</w:t>
            </w:r>
            <w:r w:rsidRPr="00BA0421">
              <w:rPr>
                <w:rFonts w:ascii="Calibri" w:eastAsia="Times New Roman" w:hAnsi="Calibri" w:cs="Calibri"/>
                <w:b/>
                <w:bCs/>
                <w:color w:val="000000"/>
                <w:lang w:eastAsia="cs-CZ"/>
              </w:rPr>
              <w:tab/>
              <w:t>CZ5</w:t>
            </w:r>
            <w:r w:rsidRPr="00BA0421">
              <w:rPr>
                <w:rFonts w:ascii="Calibri" w:eastAsia="Times New Roman" w:hAnsi="Calibri" w:cs="Calibri"/>
                <w:b/>
                <w:bCs/>
                <w:color w:val="000000"/>
                <w:lang w:eastAsia="cs-CZ"/>
              </w:rPr>
              <w:tab/>
              <w:t>CZ7</w:t>
            </w:r>
            <w:r w:rsidRPr="00BA0421">
              <w:rPr>
                <w:rFonts w:ascii="Calibri" w:eastAsia="Times New Roman" w:hAnsi="Calibri" w:cs="Calibri"/>
                <w:b/>
                <w:bCs/>
                <w:color w:val="000000"/>
                <w:lang w:eastAsia="cs-CZ"/>
              </w:rPr>
              <w:tab/>
              <w:t>CZ9</w:t>
            </w:r>
            <w:r w:rsidRPr="00BA0421">
              <w:rPr>
                <w:rFonts w:ascii="Calibri" w:eastAsia="Times New Roman" w:hAnsi="Calibri" w:cs="Calibri"/>
                <w:b/>
                <w:bCs/>
                <w:color w:val="000000"/>
                <w:lang w:eastAsia="cs-CZ"/>
              </w:rPr>
              <w:tab/>
              <w:t>HU11</w:t>
            </w:r>
            <w:r w:rsidRPr="00BA0421">
              <w:rPr>
                <w:rFonts w:ascii="Calibri" w:eastAsia="Times New Roman" w:hAnsi="Calibri" w:cs="Calibri"/>
                <w:b/>
                <w:bCs/>
                <w:color w:val="000000"/>
                <w:lang w:eastAsia="cs-CZ"/>
              </w:rPr>
              <w:tab/>
              <w:t>HU13</w:t>
            </w:r>
            <w:r w:rsidRPr="00BA0421">
              <w:rPr>
                <w:rFonts w:ascii="Calibri" w:eastAsia="Times New Roman" w:hAnsi="Calibri" w:cs="Calibri"/>
                <w:b/>
                <w:bCs/>
                <w:color w:val="000000"/>
                <w:lang w:eastAsia="cs-CZ"/>
              </w:rPr>
              <w:tab/>
              <w:t>PL1</w:t>
            </w:r>
            <w:r w:rsidRPr="00BA0421">
              <w:rPr>
                <w:rFonts w:ascii="Calibri" w:eastAsia="Times New Roman" w:hAnsi="Calibri" w:cs="Calibri"/>
                <w:b/>
                <w:bCs/>
                <w:color w:val="000000"/>
                <w:lang w:eastAsia="cs-CZ"/>
              </w:rPr>
              <w:tab/>
              <w:t>PL10</w:t>
            </w:r>
            <w:r w:rsidRPr="00BA0421">
              <w:rPr>
                <w:rFonts w:ascii="Calibri" w:eastAsia="Times New Roman" w:hAnsi="Calibri" w:cs="Calibri"/>
                <w:b/>
                <w:bCs/>
                <w:color w:val="000000"/>
                <w:lang w:eastAsia="cs-CZ"/>
              </w:rPr>
              <w:tab/>
              <w:t>PL11</w:t>
            </w:r>
            <w:r w:rsidRPr="00BA0421">
              <w:rPr>
                <w:rFonts w:ascii="Calibri" w:eastAsia="Times New Roman" w:hAnsi="Calibri" w:cs="Calibri"/>
                <w:b/>
                <w:bCs/>
                <w:color w:val="000000"/>
                <w:lang w:eastAsia="cs-CZ"/>
              </w:rPr>
              <w:tab/>
              <w:t>PL13</w:t>
            </w:r>
            <w:r w:rsidRPr="00BA0421">
              <w:rPr>
                <w:rFonts w:ascii="Calibri" w:eastAsia="Times New Roman" w:hAnsi="Calibri" w:cs="Calibri"/>
                <w:b/>
                <w:bCs/>
                <w:color w:val="000000"/>
                <w:lang w:eastAsia="cs-CZ"/>
              </w:rPr>
              <w:tab/>
              <w:t>PL2</w:t>
            </w:r>
            <w:r w:rsidRPr="00BA0421">
              <w:rPr>
                <w:rFonts w:ascii="Calibri" w:eastAsia="Times New Roman" w:hAnsi="Calibri" w:cs="Calibri"/>
                <w:b/>
                <w:bCs/>
                <w:color w:val="000000"/>
                <w:lang w:eastAsia="cs-CZ"/>
              </w:rPr>
              <w:tab/>
              <w:t>PL7</w:t>
            </w:r>
            <w:r w:rsidRPr="00BA0421">
              <w:rPr>
                <w:rFonts w:ascii="Calibri" w:eastAsia="Times New Roman" w:hAnsi="Calibri" w:cs="Calibri"/>
                <w:b/>
                <w:bCs/>
                <w:color w:val="000000"/>
                <w:lang w:eastAsia="cs-CZ"/>
              </w:rPr>
              <w:tab/>
              <w:t>PL8</w:t>
            </w:r>
            <w:r w:rsidRPr="00BA0421">
              <w:rPr>
                <w:rFonts w:ascii="Calibri" w:eastAsia="Times New Roman" w:hAnsi="Calibri" w:cs="Calibri"/>
                <w:b/>
                <w:bCs/>
                <w:color w:val="000000"/>
                <w:lang w:eastAsia="cs-CZ"/>
              </w:rPr>
              <w:tab/>
              <w:t>PL9</w:t>
            </w:r>
            <w:r w:rsidRPr="00BA0421">
              <w:rPr>
                <w:rFonts w:ascii="Calibri" w:eastAsia="Times New Roman" w:hAnsi="Calibri" w:cs="Calibri"/>
                <w:b/>
                <w:bCs/>
                <w:color w:val="000000"/>
                <w:lang w:eastAsia="cs-CZ"/>
              </w:rPr>
              <w:tab/>
              <w:t>SK10</w:t>
            </w:r>
            <w:r w:rsidRPr="00BA0421">
              <w:rPr>
                <w:rFonts w:ascii="Calibri" w:eastAsia="Times New Roman" w:hAnsi="Calibri" w:cs="Calibri"/>
                <w:b/>
                <w:bCs/>
                <w:color w:val="000000"/>
                <w:lang w:eastAsia="cs-CZ"/>
              </w:rPr>
              <w:tab/>
              <w:t>SK5</w:t>
            </w:r>
            <w:r w:rsidRPr="00BA0421">
              <w:rPr>
                <w:rFonts w:ascii="Calibri" w:eastAsia="Times New Roman" w:hAnsi="Calibri" w:cs="Calibri"/>
                <w:b/>
                <w:bCs/>
                <w:color w:val="000000"/>
                <w:lang w:eastAsia="cs-CZ"/>
              </w:rPr>
              <w:tab/>
              <w:t>SK6</w:t>
            </w:r>
            <w:r w:rsidRPr="00BA0421">
              <w:rPr>
                <w:rFonts w:ascii="Calibri" w:eastAsia="Times New Roman" w:hAnsi="Calibri" w:cs="Calibri"/>
                <w:b/>
                <w:bCs/>
                <w:color w:val="000000"/>
                <w:lang w:eastAsia="cs-CZ"/>
              </w:rPr>
              <w:tab/>
              <w:t>SK7</w:t>
            </w:r>
            <w:r w:rsidRPr="00BA0421">
              <w:rPr>
                <w:rFonts w:ascii="Calibri" w:eastAsia="Times New Roman" w:hAnsi="Calibri" w:cs="Calibri"/>
                <w:b/>
                <w:bCs/>
                <w:color w:val="000000"/>
                <w:lang w:eastAsia="cs-CZ"/>
              </w:rPr>
              <w:tab/>
              <w:t>SK8</w:t>
            </w:r>
            <w:r w:rsidRPr="00BA0421">
              <w:rPr>
                <w:rFonts w:ascii="Calibri" w:eastAsia="Times New Roman" w:hAnsi="Calibri" w:cs="Calibri"/>
                <w:b/>
                <w:bCs/>
                <w:color w:val="000000"/>
                <w:lang w:eastAsia="cs-CZ"/>
              </w:rPr>
              <w:tab/>
              <w:t>SK9</w:t>
            </w:r>
          </w:p>
        </w:tc>
      </w:tr>
      <w:tr w:rsidR="00BA0421" w:rsidRPr="00BA0421" w14:paraId="1433C01A" w14:textId="77777777" w:rsidTr="002833BD">
        <w:trPr>
          <w:trHeight w:val="182"/>
        </w:trPr>
        <w:tc>
          <w:tcPr>
            <w:cnfStyle w:val="001000000000" w:firstRow="0" w:lastRow="0" w:firstColumn="1" w:lastColumn="0" w:oddVBand="0" w:evenVBand="0" w:oddHBand="0" w:evenHBand="0" w:firstRowFirstColumn="0" w:firstRowLastColumn="0" w:lastRowFirstColumn="0" w:lastRowLastColumn="0"/>
            <w:tcW w:w="4035" w:type="dxa"/>
            <w:noWrap/>
            <w:hideMark/>
          </w:tcPr>
          <w:p w14:paraId="081CAE6B" w14:textId="77777777" w:rsidR="00BA0421" w:rsidRPr="00BA0421" w:rsidRDefault="00BA0421" w:rsidP="00BA0421">
            <w:pPr>
              <w:spacing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Pomalé dohánění</w:t>
            </w:r>
          </w:p>
        </w:tc>
        <w:tc>
          <w:tcPr>
            <w:tcW w:w="5452" w:type="dxa"/>
            <w:noWrap/>
            <w:hideMark/>
          </w:tcPr>
          <w:p w14:paraId="4F5BEA2E" w14:textId="6D1B6EBB" w:rsidR="00BA0421" w:rsidRPr="00BA0421" w:rsidRDefault="00BA0421" w:rsidP="00BA0421">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CZ2</w:t>
            </w:r>
            <w:r w:rsidRPr="00BA0421">
              <w:rPr>
                <w:rFonts w:ascii="Calibri" w:eastAsia="Times New Roman" w:hAnsi="Calibri" w:cs="Calibri"/>
                <w:b/>
                <w:bCs/>
                <w:color w:val="000000"/>
                <w:lang w:eastAsia="cs-CZ"/>
              </w:rPr>
              <w:tab/>
              <w:t>CZ3</w:t>
            </w:r>
            <w:r w:rsidRPr="00BA0421">
              <w:rPr>
                <w:rFonts w:ascii="Calibri" w:eastAsia="Times New Roman" w:hAnsi="Calibri" w:cs="Calibri"/>
                <w:b/>
                <w:bCs/>
                <w:color w:val="000000"/>
                <w:lang w:eastAsia="cs-CZ"/>
              </w:rPr>
              <w:tab/>
              <w:t>CZ4</w:t>
            </w:r>
            <w:r w:rsidRPr="00BA0421">
              <w:rPr>
                <w:rFonts w:ascii="Calibri" w:eastAsia="Times New Roman" w:hAnsi="Calibri" w:cs="Calibri"/>
                <w:b/>
                <w:bCs/>
                <w:color w:val="000000"/>
                <w:lang w:eastAsia="cs-CZ"/>
              </w:rPr>
              <w:tab/>
              <w:t>HU2</w:t>
            </w:r>
            <w:r w:rsidRPr="00BA0421">
              <w:rPr>
                <w:rFonts w:ascii="Calibri" w:eastAsia="Times New Roman" w:hAnsi="Calibri" w:cs="Calibri"/>
                <w:b/>
                <w:bCs/>
                <w:color w:val="000000"/>
                <w:lang w:eastAsia="cs-CZ"/>
              </w:rPr>
              <w:tab/>
              <w:t>HU3</w:t>
            </w:r>
            <w:r w:rsidRPr="00BA0421">
              <w:rPr>
                <w:rFonts w:ascii="Calibri" w:eastAsia="Times New Roman" w:hAnsi="Calibri" w:cs="Calibri"/>
                <w:b/>
                <w:bCs/>
                <w:color w:val="000000"/>
                <w:lang w:eastAsia="cs-CZ"/>
              </w:rPr>
              <w:tab/>
              <w:t>HU6</w:t>
            </w:r>
            <w:r w:rsidRPr="00BA0421">
              <w:rPr>
                <w:rFonts w:ascii="Calibri" w:eastAsia="Times New Roman" w:hAnsi="Calibri" w:cs="Calibri"/>
                <w:b/>
                <w:bCs/>
                <w:color w:val="000000"/>
                <w:lang w:eastAsia="cs-CZ"/>
              </w:rPr>
              <w:tab/>
              <w:t>HU7</w:t>
            </w:r>
            <w:r w:rsidRPr="00BA0421">
              <w:rPr>
                <w:rFonts w:ascii="Calibri" w:eastAsia="Times New Roman" w:hAnsi="Calibri" w:cs="Calibri"/>
                <w:b/>
                <w:bCs/>
                <w:color w:val="000000"/>
                <w:lang w:eastAsia="cs-CZ"/>
              </w:rPr>
              <w:tab/>
              <w:t>HU9</w:t>
            </w:r>
            <w:r w:rsidRPr="00BA0421">
              <w:rPr>
                <w:rFonts w:ascii="Calibri" w:eastAsia="Times New Roman" w:hAnsi="Calibri" w:cs="Calibri"/>
                <w:b/>
                <w:bCs/>
                <w:color w:val="000000"/>
                <w:lang w:eastAsia="cs-CZ"/>
              </w:rPr>
              <w:tab/>
              <w:t>PL12</w:t>
            </w:r>
            <w:r w:rsidRPr="00BA0421">
              <w:rPr>
                <w:rFonts w:ascii="Calibri" w:eastAsia="Times New Roman" w:hAnsi="Calibri" w:cs="Calibri"/>
                <w:b/>
                <w:bCs/>
                <w:color w:val="000000"/>
                <w:lang w:eastAsia="cs-CZ"/>
              </w:rPr>
              <w:tab/>
              <w:t>PL3</w:t>
            </w:r>
            <w:r w:rsidRPr="00BA0421">
              <w:rPr>
                <w:rFonts w:ascii="Calibri" w:eastAsia="Times New Roman" w:hAnsi="Calibri" w:cs="Calibri"/>
                <w:b/>
                <w:bCs/>
                <w:color w:val="000000"/>
                <w:lang w:eastAsia="cs-CZ"/>
              </w:rPr>
              <w:tab/>
              <w:t>SK1</w:t>
            </w:r>
            <w:r w:rsidRPr="00BA0421">
              <w:rPr>
                <w:rFonts w:ascii="Calibri" w:eastAsia="Times New Roman" w:hAnsi="Calibri" w:cs="Calibri"/>
                <w:b/>
                <w:bCs/>
                <w:color w:val="000000"/>
                <w:lang w:eastAsia="cs-CZ"/>
              </w:rPr>
              <w:tab/>
              <w:t>SK11</w:t>
            </w:r>
            <w:r w:rsidRPr="00BA0421">
              <w:rPr>
                <w:rFonts w:ascii="Calibri" w:eastAsia="Times New Roman" w:hAnsi="Calibri" w:cs="Calibri"/>
                <w:b/>
                <w:bCs/>
                <w:color w:val="000000"/>
                <w:lang w:eastAsia="cs-CZ"/>
              </w:rPr>
              <w:tab/>
              <w:t>SK12</w:t>
            </w:r>
            <w:r w:rsidRPr="00BA0421">
              <w:rPr>
                <w:rFonts w:ascii="Calibri" w:eastAsia="Times New Roman" w:hAnsi="Calibri" w:cs="Calibri"/>
                <w:b/>
                <w:bCs/>
                <w:color w:val="000000"/>
                <w:lang w:eastAsia="cs-CZ"/>
              </w:rPr>
              <w:tab/>
              <w:t>SK13</w:t>
            </w:r>
            <w:r w:rsidRPr="00BA0421">
              <w:rPr>
                <w:rFonts w:ascii="Calibri" w:eastAsia="Times New Roman" w:hAnsi="Calibri" w:cs="Calibri"/>
                <w:b/>
                <w:bCs/>
                <w:color w:val="000000"/>
                <w:lang w:eastAsia="cs-CZ"/>
              </w:rPr>
              <w:tab/>
              <w:t>SK2</w:t>
            </w:r>
            <w:r w:rsidRPr="00BA0421">
              <w:rPr>
                <w:rFonts w:ascii="Calibri" w:eastAsia="Times New Roman" w:hAnsi="Calibri" w:cs="Calibri"/>
                <w:b/>
                <w:bCs/>
                <w:color w:val="000000"/>
                <w:lang w:eastAsia="cs-CZ"/>
              </w:rPr>
              <w:tab/>
              <w:t>SK3</w:t>
            </w:r>
          </w:p>
        </w:tc>
      </w:tr>
      <w:tr w:rsidR="00BA0421" w:rsidRPr="00BA0421" w14:paraId="660B4523" w14:textId="77777777" w:rsidTr="002833BD">
        <w:trPr>
          <w:trHeight w:val="182"/>
        </w:trPr>
        <w:tc>
          <w:tcPr>
            <w:cnfStyle w:val="001000000000" w:firstRow="0" w:lastRow="0" w:firstColumn="1" w:lastColumn="0" w:oddVBand="0" w:evenVBand="0" w:oddHBand="0" w:evenHBand="0" w:firstRowFirstColumn="0" w:firstRowLastColumn="0" w:lastRowFirstColumn="0" w:lastRowLastColumn="0"/>
            <w:tcW w:w="4035" w:type="dxa"/>
            <w:noWrap/>
            <w:hideMark/>
          </w:tcPr>
          <w:p w14:paraId="205D73AC" w14:textId="77777777" w:rsidR="00BA0421" w:rsidRPr="00BA0421" w:rsidRDefault="00BA0421" w:rsidP="00BA0421">
            <w:pPr>
              <w:spacing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Růst mezery</w:t>
            </w:r>
          </w:p>
        </w:tc>
        <w:tc>
          <w:tcPr>
            <w:tcW w:w="5452" w:type="dxa"/>
            <w:noWrap/>
            <w:hideMark/>
          </w:tcPr>
          <w:p w14:paraId="3C2B593D" w14:textId="34388228" w:rsidR="00BA0421" w:rsidRPr="00BA0421" w:rsidRDefault="00BA0421" w:rsidP="00BA0421">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CZ8</w:t>
            </w:r>
            <w:r w:rsidRPr="00BA0421">
              <w:rPr>
                <w:rFonts w:ascii="Calibri" w:eastAsia="Times New Roman" w:hAnsi="Calibri" w:cs="Calibri"/>
                <w:b/>
                <w:bCs/>
                <w:color w:val="000000"/>
                <w:lang w:eastAsia="cs-CZ"/>
              </w:rPr>
              <w:tab/>
              <w:t>HU1</w:t>
            </w:r>
            <w:r w:rsidRPr="00BA0421">
              <w:rPr>
                <w:rFonts w:ascii="Calibri" w:eastAsia="Times New Roman" w:hAnsi="Calibri" w:cs="Calibri"/>
                <w:b/>
                <w:bCs/>
                <w:color w:val="000000"/>
                <w:lang w:eastAsia="cs-CZ"/>
              </w:rPr>
              <w:tab/>
              <w:t>HU10</w:t>
            </w:r>
            <w:r w:rsidRPr="00BA0421">
              <w:rPr>
                <w:rFonts w:ascii="Calibri" w:eastAsia="Times New Roman" w:hAnsi="Calibri" w:cs="Calibri"/>
                <w:b/>
                <w:bCs/>
                <w:color w:val="000000"/>
                <w:lang w:eastAsia="cs-CZ"/>
              </w:rPr>
              <w:tab/>
              <w:t>HU12</w:t>
            </w:r>
            <w:r w:rsidRPr="00BA0421">
              <w:rPr>
                <w:rFonts w:ascii="Calibri" w:eastAsia="Times New Roman" w:hAnsi="Calibri" w:cs="Calibri"/>
                <w:b/>
                <w:bCs/>
                <w:color w:val="000000"/>
                <w:lang w:eastAsia="cs-CZ"/>
              </w:rPr>
              <w:tab/>
              <w:t>HU4</w:t>
            </w:r>
            <w:r w:rsidRPr="00BA0421">
              <w:rPr>
                <w:rFonts w:ascii="Calibri" w:eastAsia="Times New Roman" w:hAnsi="Calibri" w:cs="Calibri"/>
                <w:b/>
                <w:bCs/>
                <w:color w:val="000000"/>
                <w:lang w:eastAsia="cs-CZ"/>
              </w:rPr>
              <w:tab/>
              <w:t>HU5</w:t>
            </w:r>
            <w:r w:rsidRPr="00BA0421">
              <w:rPr>
                <w:rFonts w:ascii="Calibri" w:eastAsia="Times New Roman" w:hAnsi="Calibri" w:cs="Calibri"/>
                <w:b/>
                <w:bCs/>
                <w:color w:val="000000"/>
                <w:lang w:eastAsia="cs-CZ"/>
              </w:rPr>
              <w:tab/>
              <w:t>HU8</w:t>
            </w:r>
            <w:r w:rsidRPr="00BA0421">
              <w:rPr>
                <w:rFonts w:ascii="Calibri" w:eastAsia="Times New Roman" w:hAnsi="Calibri" w:cs="Calibri"/>
                <w:b/>
                <w:bCs/>
                <w:color w:val="000000"/>
                <w:lang w:eastAsia="cs-CZ"/>
              </w:rPr>
              <w:tab/>
              <w:t>PL4</w:t>
            </w:r>
            <w:r w:rsidRPr="00BA0421">
              <w:rPr>
                <w:rFonts w:ascii="Calibri" w:eastAsia="Times New Roman" w:hAnsi="Calibri" w:cs="Calibri"/>
                <w:b/>
                <w:bCs/>
                <w:color w:val="000000"/>
                <w:lang w:eastAsia="cs-CZ"/>
              </w:rPr>
              <w:tab/>
              <w:t>PL5</w:t>
            </w:r>
            <w:r w:rsidRPr="00BA0421">
              <w:rPr>
                <w:rFonts w:ascii="Calibri" w:eastAsia="Times New Roman" w:hAnsi="Calibri" w:cs="Calibri"/>
                <w:b/>
                <w:bCs/>
                <w:color w:val="000000"/>
                <w:lang w:eastAsia="cs-CZ"/>
              </w:rPr>
              <w:tab/>
              <w:t>PL6</w:t>
            </w:r>
          </w:p>
        </w:tc>
      </w:tr>
    </w:tbl>
    <w:p w14:paraId="242C3535" w14:textId="4F01FF34" w:rsidR="00A579DD" w:rsidRDefault="00A579DD" w:rsidP="0009563E"/>
    <w:p w14:paraId="1E4C69BD" w14:textId="6E8730DF" w:rsidR="00F27CFC" w:rsidRDefault="00F27CFC" w:rsidP="0075518B">
      <w:pPr>
        <w:jc w:val="both"/>
      </w:pPr>
      <w:r>
        <w:t>Poslední část této analýzy je zaměřena na posouzení</w:t>
      </w:r>
      <w:r w:rsidR="004772EF">
        <w:t>,</w:t>
      </w:r>
      <w:r>
        <w:t xml:space="preserve"> zda odvětví, která </w:t>
      </w:r>
      <w:r w:rsidR="007D71AC">
        <w:t xml:space="preserve">mají největší přínos pro snižování mezery v produktivitě </w:t>
      </w:r>
      <w:proofErr w:type="gramStart"/>
      <w:r w:rsidR="007D71AC">
        <w:t>mají jsou</w:t>
      </w:r>
      <w:proofErr w:type="gramEnd"/>
      <w:r w:rsidR="007D71AC">
        <w:t xml:space="preserve">  odvětvími, které přispívají nejvíce k růstu produktivity práce.  Pokud </w:t>
      </w:r>
      <w:r w:rsidR="006265C0">
        <w:t>dojde ke srovnání</w:t>
      </w:r>
      <w:r w:rsidR="007D71AC">
        <w:t xml:space="preserve"> přínos</w:t>
      </w:r>
      <w:r w:rsidR="006265C0">
        <w:t>ů</w:t>
      </w:r>
      <w:r w:rsidR="007D71AC">
        <w:t xml:space="preserve"> pro snižování mezery v produktivitě a </w:t>
      </w:r>
      <w:proofErr w:type="gramStart"/>
      <w:r w:rsidR="007D71AC">
        <w:t>přínos</w:t>
      </w:r>
      <w:proofErr w:type="gramEnd"/>
      <w:r w:rsidR="007D71AC">
        <w:t xml:space="preserve"> pro růstu produktivity </w:t>
      </w:r>
      <w:r w:rsidR="007D71AC">
        <w:lastRenderedPageBreak/>
        <w:t xml:space="preserve">práce </w:t>
      </w:r>
      <w:r w:rsidR="006265C0">
        <w:t xml:space="preserve">zjistíme významné </w:t>
      </w:r>
      <w:proofErr w:type="gramStart"/>
      <w:r w:rsidR="006265C0">
        <w:t>rozdíly</w:t>
      </w:r>
      <w:proofErr w:type="gramEnd"/>
      <w:r w:rsidR="006265C0">
        <w:t xml:space="preserve">. Zřejmé je, že tahounem růstu produktivity práce v průmyslu je výroba motorových vozidel, výroba kovodělných výrobků a plastových výrobků. Naopak odvětví, které </w:t>
      </w:r>
      <w:r w:rsidR="0075518B">
        <w:t xml:space="preserve">nejvíce </w:t>
      </w:r>
      <w:r w:rsidR="00EA705A">
        <w:t>přispívají</w:t>
      </w:r>
      <w:r w:rsidR="0075518B">
        <w:t xml:space="preserve"> ke snížení mezi produktivity mezi podniky V4 a Německými patří oblast výroby elektrických zařízení, počítačů, str</w:t>
      </w:r>
      <w:r w:rsidR="00EA705A">
        <w:t xml:space="preserve">ojů a zařízení také plastových </w:t>
      </w:r>
      <w:r w:rsidR="0075518B">
        <w:t xml:space="preserve">produktů.  Jde tedy o odvětví, které v růstu produktivity předbíhají růst produktivity práce Německé podniky.  </w:t>
      </w:r>
    </w:p>
    <w:p w14:paraId="3FB8BC0A" w14:textId="5B250506" w:rsidR="00F81027" w:rsidRDefault="004772EF" w:rsidP="0009563E">
      <w:r>
        <w:t xml:space="preserve">Graf č. X: </w:t>
      </w:r>
      <w:r w:rsidR="00F81027">
        <w:t xml:space="preserve">Odvětví s největším přínosem pro snižižování mezery produktivity  v % z celku </w:t>
      </w:r>
      <w:r>
        <w:t>u V4</w:t>
      </w:r>
    </w:p>
    <w:p w14:paraId="406222B9" w14:textId="1D06EFB3" w:rsidR="006265C0" w:rsidRDefault="006265C0" w:rsidP="0009563E">
      <w:r>
        <w:rPr>
          <w:noProof/>
          <w:lang w:eastAsia="cs-CZ"/>
        </w:rPr>
        <w:drawing>
          <wp:inline distT="0" distB="0" distL="0" distR="0" wp14:anchorId="2E265D8D" wp14:editId="3C247910">
            <wp:extent cx="5760720" cy="4122420"/>
            <wp:effectExtent l="0" t="0" r="11430" b="1143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A5B79" w14:textId="753CF1F6" w:rsidR="00F81027" w:rsidRDefault="00F81027" w:rsidP="0009563E"/>
    <w:p w14:paraId="6A5F00CA" w14:textId="3898EB18" w:rsidR="00A23A3C" w:rsidRDefault="00A23A3C" w:rsidP="0009563E"/>
    <w:p w14:paraId="6DB8A516" w14:textId="20AC1851" w:rsidR="00F27CFC" w:rsidRDefault="00F27CFC" w:rsidP="00F27CFC">
      <w:pPr>
        <w:jc w:val="both"/>
        <w:rPr>
          <w:rFonts w:ascii="Times New Roman" w:eastAsia="Times New Roman" w:hAnsi="Times New Roman" w:cs="Times New Roman"/>
          <w:color w:val="333333"/>
          <w:sz w:val="24"/>
          <w:szCs w:val="24"/>
          <w:lang w:val="en-GB" w:eastAsia="en-GB"/>
        </w:rPr>
      </w:pPr>
    </w:p>
    <w:p w14:paraId="052DAB61" w14:textId="44145472" w:rsidR="0075518B" w:rsidRDefault="0075518B" w:rsidP="00F27CFC">
      <w:pPr>
        <w:jc w:val="both"/>
        <w:rPr>
          <w:rFonts w:ascii="Times New Roman" w:eastAsia="Times New Roman" w:hAnsi="Times New Roman" w:cs="Times New Roman"/>
          <w:color w:val="333333"/>
          <w:sz w:val="24"/>
          <w:szCs w:val="24"/>
          <w:lang w:val="en-GB" w:eastAsia="en-GB"/>
        </w:rPr>
      </w:pPr>
    </w:p>
    <w:p w14:paraId="5AF879B2" w14:textId="39A7C00D" w:rsidR="0075518B" w:rsidRDefault="0075518B" w:rsidP="00F27CFC">
      <w:pPr>
        <w:jc w:val="both"/>
        <w:rPr>
          <w:rFonts w:ascii="Times New Roman" w:eastAsia="Times New Roman" w:hAnsi="Times New Roman" w:cs="Times New Roman"/>
          <w:color w:val="333333"/>
          <w:sz w:val="24"/>
          <w:szCs w:val="24"/>
          <w:lang w:val="en-GB" w:eastAsia="en-GB"/>
        </w:rPr>
      </w:pPr>
    </w:p>
    <w:p w14:paraId="737F88E3" w14:textId="7EB36851" w:rsidR="000A5F1C" w:rsidRDefault="000A5F1C" w:rsidP="00F27CFC">
      <w:pPr>
        <w:jc w:val="both"/>
        <w:rPr>
          <w:rFonts w:ascii="Times New Roman" w:eastAsia="Times New Roman" w:hAnsi="Times New Roman" w:cs="Times New Roman"/>
          <w:color w:val="333333"/>
          <w:sz w:val="24"/>
          <w:szCs w:val="24"/>
          <w:lang w:val="en-GB" w:eastAsia="en-GB"/>
        </w:rPr>
      </w:pPr>
    </w:p>
    <w:p w14:paraId="43B5F55E" w14:textId="3693006C" w:rsidR="000A5F1C" w:rsidRDefault="000A5F1C" w:rsidP="00F27CFC">
      <w:pPr>
        <w:jc w:val="both"/>
        <w:rPr>
          <w:rFonts w:ascii="Times New Roman" w:eastAsia="Times New Roman" w:hAnsi="Times New Roman" w:cs="Times New Roman"/>
          <w:color w:val="333333"/>
          <w:sz w:val="24"/>
          <w:szCs w:val="24"/>
          <w:lang w:val="en-GB" w:eastAsia="en-GB"/>
        </w:rPr>
      </w:pPr>
    </w:p>
    <w:p w14:paraId="408410F1" w14:textId="258AC1FF" w:rsidR="000A5F1C" w:rsidRDefault="000A5F1C" w:rsidP="00F27CFC">
      <w:pPr>
        <w:jc w:val="both"/>
        <w:rPr>
          <w:rFonts w:ascii="Times New Roman" w:eastAsia="Times New Roman" w:hAnsi="Times New Roman" w:cs="Times New Roman"/>
          <w:color w:val="333333"/>
          <w:sz w:val="24"/>
          <w:szCs w:val="24"/>
          <w:lang w:val="en-GB" w:eastAsia="en-GB"/>
        </w:rPr>
      </w:pPr>
    </w:p>
    <w:p w14:paraId="5741224F" w14:textId="78CE2642" w:rsidR="000A5F1C" w:rsidRDefault="000A5F1C" w:rsidP="00F27CFC">
      <w:pPr>
        <w:jc w:val="both"/>
        <w:rPr>
          <w:rFonts w:ascii="Times New Roman" w:eastAsia="Times New Roman" w:hAnsi="Times New Roman" w:cs="Times New Roman"/>
          <w:color w:val="333333"/>
          <w:sz w:val="24"/>
          <w:szCs w:val="24"/>
          <w:lang w:val="en-GB" w:eastAsia="en-GB"/>
        </w:rPr>
      </w:pPr>
    </w:p>
    <w:p w14:paraId="179EB1F5" w14:textId="3E1DC0C5" w:rsidR="000A5F1C" w:rsidRDefault="000A5F1C" w:rsidP="00F27CFC">
      <w:pPr>
        <w:jc w:val="both"/>
        <w:rPr>
          <w:rFonts w:ascii="Times New Roman" w:eastAsia="Times New Roman" w:hAnsi="Times New Roman" w:cs="Times New Roman"/>
          <w:color w:val="333333"/>
          <w:sz w:val="24"/>
          <w:szCs w:val="24"/>
          <w:lang w:val="en-GB" w:eastAsia="en-GB"/>
        </w:rPr>
      </w:pPr>
    </w:p>
    <w:p w14:paraId="16792B52" w14:textId="77777777" w:rsidR="000A5F1C" w:rsidRDefault="000A5F1C" w:rsidP="00F27CFC">
      <w:pPr>
        <w:jc w:val="both"/>
        <w:rPr>
          <w:rFonts w:ascii="Times New Roman" w:eastAsia="Times New Roman" w:hAnsi="Times New Roman" w:cs="Times New Roman"/>
          <w:color w:val="333333"/>
          <w:sz w:val="24"/>
          <w:szCs w:val="24"/>
          <w:lang w:val="en-GB" w:eastAsia="en-GB"/>
        </w:rPr>
      </w:pPr>
    </w:p>
    <w:p w14:paraId="7E249A81" w14:textId="5D48354E" w:rsidR="0075518B" w:rsidRDefault="0075518B" w:rsidP="00F27CFC">
      <w:pPr>
        <w:jc w:val="both"/>
        <w:rPr>
          <w:rFonts w:ascii="Times New Roman" w:eastAsia="Times New Roman" w:hAnsi="Times New Roman" w:cs="Times New Roman"/>
          <w:color w:val="333333"/>
          <w:sz w:val="24"/>
          <w:szCs w:val="24"/>
          <w:lang w:val="en-GB" w:eastAsia="en-GB"/>
        </w:rPr>
      </w:pPr>
    </w:p>
    <w:p w14:paraId="020203AF" w14:textId="46169F18" w:rsidR="00A277FF" w:rsidRPr="00BE675D" w:rsidRDefault="00BE675D" w:rsidP="00281C82">
      <w:pPr>
        <w:jc w:val="both"/>
        <w:rPr>
          <w:b/>
        </w:rPr>
      </w:pPr>
      <w:r w:rsidRPr="00BE675D">
        <w:rPr>
          <w:b/>
        </w:rPr>
        <w:lastRenderedPageBreak/>
        <w:t>E</w:t>
      </w:r>
      <w:r w:rsidR="00A277FF" w:rsidRPr="00BE675D">
        <w:rPr>
          <w:b/>
        </w:rPr>
        <w:t xml:space="preserve">fekt dohánění </w:t>
      </w:r>
      <w:r w:rsidR="001C740C" w:rsidRPr="00BE675D">
        <w:rPr>
          <w:b/>
        </w:rPr>
        <w:t xml:space="preserve">LP </w:t>
      </w:r>
      <w:r w:rsidR="00A277FF" w:rsidRPr="00BE675D">
        <w:rPr>
          <w:b/>
        </w:rPr>
        <w:t>dle technologické intensity</w:t>
      </w:r>
      <w:r w:rsidR="004772EF">
        <w:rPr>
          <w:b/>
        </w:rPr>
        <w:t xml:space="preserve"> u V4</w:t>
      </w:r>
      <w:r w:rsidR="00A277FF" w:rsidRPr="00BE675D">
        <w:rPr>
          <w:b/>
        </w:rPr>
        <w:t xml:space="preserve"> </w:t>
      </w:r>
    </w:p>
    <w:p w14:paraId="5AFA7D40" w14:textId="2267FBA2" w:rsidR="00A277FF" w:rsidRDefault="00A277FF" w:rsidP="00A277FF">
      <w:pPr>
        <w:jc w:val="both"/>
      </w:pPr>
      <w:r w:rsidRPr="00A277FF">
        <w:t xml:space="preserve">Úroveň produktivity práce je jedním z kritických faktorů ovlivňujících konkurenceschopnost podniků ve výrobě. Důležitým vlivem, který může ovlivnit produktivitu práce, je úroveň technologické náročnosti. Lze předpokládat, že firmy s vyšší technologickou </w:t>
      </w:r>
      <w:r w:rsidR="00530334">
        <w:t>intensitou dosahují vyššího růstu</w:t>
      </w:r>
      <w:r w:rsidRPr="00A277FF">
        <w:t xml:space="preserve"> produktivity práce</w:t>
      </w:r>
      <w:r w:rsidR="00530334">
        <w:t xml:space="preserve"> díky vyšší technologické vyspělosti</w:t>
      </w:r>
      <w:r w:rsidRPr="00A277FF">
        <w:t>.</w:t>
      </w:r>
      <w:r w:rsidR="00530334">
        <w:t xml:space="preserve"> </w:t>
      </w:r>
      <w:r w:rsidRPr="00A277FF">
        <w:t xml:space="preserve">Cílem </w:t>
      </w:r>
      <w:r w:rsidR="001C740C">
        <w:t>této části</w:t>
      </w:r>
      <w:r w:rsidRPr="00A277FF">
        <w:t xml:space="preserve"> je zhodnotit úlo</w:t>
      </w:r>
      <w:r w:rsidR="00530334">
        <w:t>hu technologické i</w:t>
      </w:r>
      <w:r w:rsidR="00492F26">
        <w:t xml:space="preserve">ntensity </w:t>
      </w:r>
      <w:r w:rsidR="001C740C">
        <w:t xml:space="preserve">v efektu dohánění </w:t>
      </w:r>
      <w:r w:rsidRPr="00A277FF">
        <w:t xml:space="preserve">produktivity práce </w:t>
      </w:r>
      <w:r w:rsidR="001C740C">
        <w:t>podniků V4 k Německým podnikům.  Rozdělení jednotlivých oddílů</w:t>
      </w:r>
      <w:r>
        <w:t xml:space="preserve"> průmyslu podle technologické náročnosti vychází z</w:t>
      </w:r>
      <w:r w:rsidR="001C740C">
        <w:t> evropské klasifikace</w:t>
      </w:r>
      <w:r>
        <w:t xml:space="preserve"> NACE (</w:t>
      </w:r>
      <w:r w:rsidR="001C740C">
        <w:t>Rev. 2</w:t>
      </w:r>
      <w:r>
        <w:t xml:space="preserve">). Eurostat používá následující </w:t>
      </w:r>
      <w:r w:rsidR="001C740C">
        <w:t xml:space="preserve">rozdělení jednotlivých oddílů (odvětví) </w:t>
      </w:r>
      <w:r>
        <w:t>průmyslu podle technologické náročnosti a na 4 skupiny, které lze seskupit do dvou hlavních skupin na odvětví nízko technologicky náročn</w:t>
      </w:r>
      <w:r w:rsidR="001C740C">
        <w:t xml:space="preserve">é </w:t>
      </w:r>
      <w:r w:rsidR="00492F26">
        <w:t xml:space="preserve">jako je například potravinářský průmysl </w:t>
      </w:r>
      <w:r w:rsidR="001C740C">
        <w:t>a vysoce technologicky náročné</w:t>
      </w:r>
      <w:r>
        <w:t>.</w:t>
      </w:r>
    </w:p>
    <w:p w14:paraId="2AC8E0CD" w14:textId="5A34D254" w:rsidR="00530334" w:rsidRDefault="00530334" w:rsidP="00BD17D9">
      <w:pPr>
        <w:jc w:val="both"/>
      </w:pPr>
      <w:r>
        <w:t xml:space="preserve">Graf č. X: Vývoj LP catch-up indexu v odvětvích V4 dle technologické intensity </w:t>
      </w:r>
    </w:p>
    <w:p w14:paraId="4C0B104B" w14:textId="7CBF3175" w:rsidR="00BD17D9" w:rsidRDefault="00D66781" w:rsidP="00BD17D9">
      <w:pPr>
        <w:jc w:val="both"/>
      </w:pPr>
      <w:r>
        <w:rPr>
          <w:noProof/>
          <w:lang w:eastAsia="cs-CZ"/>
        </w:rPr>
        <w:drawing>
          <wp:inline distT="0" distB="0" distL="0" distR="0" wp14:anchorId="4DD93E7A" wp14:editId="3AF7D0AF">
            <wp:extent cx="5899868" cy="2743200"/>
            <wp:effectExtent l="0" t="0" r="571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2555FD" w14:textId="77777777" w:rsidR="00BE675D" w:rsidRDefault="00BE675D" w:rsidP="00BE675D">
      <w:pPr>
        <w:jc w:val="both"/>
      </w:pPr>
      <w:r>
        <w:t xml:space="preserve">Z hlediska  snižování mezery produktivity práce v čase se ukázalo, že za sledované období  průmyslová odvětví s vysokou technologickou intensitou v zemích V4 se podařilo více snížit mezeru produktu (-10,4) než u odvětví s nízkou technologickou intensitou (-8,25). Následující graf  č. X nám poskytuje pohled z hlediska času na zvyšování LP Catch up indexu v čase nebo-li na snižování mezery proudktivity práce oproti Německu.  Je zde zřejmý vliv hospodářského cyklu, na který je zaměřena poslední analýza. </w:t>
      </w:r>
    </w:p>
    <w:p w14:paraId="5A56CE6F" w14:textId="6E1BCAEC" w:rsidR="00BE675D" w:rsidRDefault="00BE675D" w:rsidP="00BE675D">
      <w:pPr>
        <w:jc w:val="both"/>
      </w:pPr>
      <w:r>
        <w:t xml:space="preserve">Graf č. X: Vývoj tempa růst LP catch-up indexu v odvětvích V4 dle technologické intensity </w:t>
      </w:r>
    </w:p>
    <w:p w14:paraId="1D77E114" w14:textId="53EEF1E5" w:rsidR="00D66781" w:rsidRDefault="00D66781" w:rsidP="00BD17D9">
      <w:pPr>
        <w:jc w:val="both"/>
      </w:pPr>
      <w:r>
        <w:rPr>
          <w:noProof/>
          <w:lang w:eastAsia="cs-CZ"/>
        </w:rPr>
        <w:lastRenderedPageBreak/>
        <w:drawing>
          <wp:inline distT="0" distB="0" distL="0" distR="0" wp14:anchorId="10C2D0C3" wp14:editId="4BBD0144">
            <wp:extent cx="5760720" cy="2496820"/>
            <wp:effectExtent l="0" t="0" r="11430" b="1778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BD674A" w14:textId="77777777" w:rsidR="00D66781" w:rsidRDefault="00D66781" w:rsidP="00D66781">
      <w:pPr>
        <w:jc w:val="both"/>
      </w:pPr>
      <w:r>
        <w:t xml:space="preserve">Z hlediska  snižování mezery produktivity práce v čase se ukázalo, že za sledované období  průmyslová odvětví s vysokou technologickou intensitou v zemích V4 se podařilo více snížit mezeru produktu (-10,4) než u odvětví s nízkou technologickou intensitou (-8,25). Následující graf  č. X nám poskytuje pohled z hlediska času na zvyšování LP Catch up indexu v čase nebo-li na snižování mezery proudktivity práce oproti Německu.  Je zde zřejmý vliv hospodářského cyklu, na který je zaměřena poslední analýza. </w:t>
      </w:r>
    </w:p>
    <w:p w14:paraId="5F7CDB0F" w14:textId="313CA254" w:rsidR="00BD17D9" w:rsidRDefault="00BD17D9" w:rsidP="00BD17D9">
      <w:pPr>
        <w:jc w:val="both"/>
      </w:pPr>
      <w:r>
        <w:t xml:space="preserve">Z hlediska zemí V4 snižování mezery v produktivitě práce nedocházelo  úplně identicky. Zejména u Maďarska dokonce došlo k poklesu hodnoty LP catch up indexu. Naopak u ostatních zemí je zřetelný růstu produktivity práce vedoucí ke snižování mezery produktivity zejména u </w:t>
      </w:r>
      <w:r w:rsidR="00530334">
        <w:t xml:space="preserve">průmyslových </w:t>
      </w:r>
      <w:r>
        <w:t>odvětví</w:t>
      </w:r>
      <w:r w:rsidR="00530334">
        <w:t xml:space="preserve">, které patří do skupiny </w:t>
      </w:r>
      <w:r>
        <w:t>vy</w:t>
      </w:r>
      <w:r w:rsidR="00530334">
        <w:t xml:space="preserve">soko technologicko intensitvních. </w:t>
      </w:r>
    </w:p>
    <w:p w14:paraId="53ECAD75" w14:textId="77777777" w:rsidR="00BD17D9" w:rsidRDefault="00BD17D9" w:rsidP="00BD17D9">
      <w:pPr>
        <w:jc w:val="both"/>
      </w:pPr>
      <w:r>
        <w:rPr>
          <w:noProof/>
          <w:lang w:eastAsia="cs-CZ"/>
        </w:rPr>
        <w:drawing>
          <wp:inline distT="0" distB="0" distL="0" distR="0" wp14:anchorId="0AE6220F" wp14:editId="3993F738">
            <wp:extent cx="6096000" cy="2742565"/>
            <wp:effectExtent l="0" t="0" r="0" b="63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13DB6F" w14:textId="77777777" w:rsidR="00BD17D9" w:rsidRDefault="00BD17D9" w:rsidP="00BD17D9">
      <w:pPr>
        <w:jc w:val="both"/>
      </w:pPr>
    </w:p>
    <w:p w14:paraId="00F3E524" w14:textId="15DCEB1C" w:rsidR="00BD17D9" w:rsidRDefault="00BD17D9" w:rsidP="00281C82">
      <w:pPr>
        <w:jc w:val="both"/>
      </w:pPr>
    </w:p>
    <w:p w14:paraId="57345069" w14:textId="0CFDB1AD" w:rsidR="00BE675D" w:rsidRDefault="00BE675D" w:rsidP="00281C82">
      <w:pPr>
        <w:jc w:val="both"/>
      </w:pPr>
    </w:p>
    <w:p w14:paraId="7B95F20A" w14:textId="427372AD" w:rsidR="00BE675D" w:rsidRDefault="00BE675D" w:rsidP="00281C82">
      <w:pPr>
        <w:jc w:val="both"/>
      </w:pPr>
    </w:p>
    <w:p w14:paraId="6203393A" w14:textId="77777777" w:rsidR="00BE675D" w:rsidRDefault="00BE675D" w:rsidP="00281C82">
      <w:pPr>
        <w:jc w:val="both"/>
      </w:pPr>
    </w:p>
    <w:p w14:paraId="0021AE22" w14:textId="27F005A0" w:rsidR="00C80817" w:rsidRPr="00147414" w:rsidRDefault="00C80817" w:rsidP="00281C82">
      <w:pPr>
        <w:jc w:val="both"/>
        <w:rPr>
          <w:b/>
          <w:bCs/>
        </w:rPr>
      </w:pPr>
      <w:r w:rsidRPr="00147414">
        <w:rPr>
          <w:b/>
          <w:bCs/>
        </w:rPr>
        <w:lastRenderedPageBreak/>
        <w:t xml:space="preserve">Rychlost dohánění dle hospodářského cyklu </w:t>
      </w:r>
    </w:p>
    <w:p w14:paraId="1D2002B0" w14:textId="24D29007" w:rsidR="00011C33" w:rsidRDefault="00011C33" w:rsidP="00281C82">
      <w:pPr>
        <w:jc w:val="both"/>
      </w:pPr>
      <w:r>
        <w:t xml:space="preserve">Následující část je zaměřena na rychlost dohání měřenou LP catch-up indexem z hlediska hospodářské cyklu ve formě indexu. Hodnota nad jednu znamená, že v tomto období odvětví v zemích V4 rychleji doháněly odvětví Německé. Naopak hodnota pod jednu znamená, že v tomto období tyto průmyslová odvětví zemí V4 zaostávaly v produktivitě práce za těmi Německými. </w:t>
      </w:r>
    </w:p>
    <w:p w14:paraId="180D9A15" w14:textId="4272E600" w:rsidR="00C80817" w:rsidRDefault="00C80817" w:rsidP="00281C82">
      <w:pPr>
        <w:jc w:val="both"/>
      </w:pPr>
      <w:r>
        <w:t xml:space="preserve">Tab. </w:t>
      </w:r>
      <w:proofErr w:type="gramStart"/>
      <w:r>
        <w:t>č.</w:t>
      </w:r>
      <w:proofErr w:type="gramEnd"/>
      <w:r>
        <w:t xml:space="preserve"> X: Průměrné tempo růstu dohánění</w:t>
      </w:r>
      <w:r w:rsidR="00811B56">
        <w:t xml:space="preserve"> vyjádřené CI</w:t>
      </w:r>
      <w:r>
        <w:t xml:space="preserve"> za jednotlivé oddíly průmyslu v zemích V4 k Německým průmyslovým odvěvím</w:t>
      </w:r>
    </w:p>
    <w:tbl>
      <w:tblPr>
        <w:tblW w:w="8933" w:type="dxa"/>
        <w:tblCellMar>
          <w:left w:w="70" w:type="dxa"/>
          <w:right w:w="70" w:type="dxa"/>
        </w:tblCellMar>
        <w:tblLook w:val="04A0" w:firstRow="1" w:lastRow="0" w:firstColumn="1" w:lastColumn="0" w:noHBand="0" w:noVBand="1"/>
      </w:tblPr>
      <w:tblGrid>
        <w:gridCol w:w="5512"/>
        <w:gridCol w:w="982"/>
        <w:gridCol w:w="813"/>
        <w:gridCol w:w="813"/>
        <w:gridCol w:w="813"/>
      </w:tblGrid>
      <w:tr w:rsidR="00E94288" w:rsidRPr="00C80817" w14:paraId="03F72C15" w14:textId="77777777" w:rsidTr="00E94288">
        <w:trPr>
          <w:trHeight w:val="288"/>
        </w:trPr>
        <w:tc>
          <w:tcPr>
            <w:tcW w:w="5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538C6" w14:textId="77777777" w:rsidR="00E94288" w:rsidRPr="00C80817" w:rsidRDefault="00E94288" w:rsidP="00C80817">
            <w:pPr>
              <w:spacing w:after="0" w:line="240" w:lineRule="auto"/>
              <w:rPr>
                <w:rFonts w:ascii="Calibri" w:eastAsia="Times New Roman" w:hAnsi="Calibri" w:cs="Calibri"/>
                <w:color w:val="000000"/>
                <w:lang w:eastAsia="cs-CZ"/>
              </w:rPr>
            </w:pPr>
            <w:r w:rsidRPr="00C80817">
              <w:rPr>
                <w:rFonts w:ascii="Calibri" w:eastAsia="Times New Roman" w:hAnsi="Calibri" w:cs="Calibri"/>
                <w:color w:val="000000"/>
                <w:lang w:eastAsia="cs-CZ"/>
              </w:rPr>
              <w:t> </w:t>
            </w:r>
          </w:p>
        </w:tc>
        <w:tc>
          <w:tcPr>
            <w:tcW w:w="982" w:type="dxa"/>
            <w:tcBorders>
              <w:top w:val="single" w:sz="4" w:space="0" w:color="auto"/>
              <w:left w:val="nil"/>
              <w:bottom w:val="single" w:sz="4" w:space="0" w:color="auto"/>
              <w:right w:val="single" w:sz="4" w:space="0" w:color="auto"/>
            </w:tcBorders>
            <w:shd w:val="clear" w:color="000000" w:fill="FFFFFF"/>
            <w:noWrap/>
            <w:vAlign w:val="center"/>
            <w:hideMark/>
          </w:tcPr>
          <w:p w14:paraId="56300AA6" w14:textId="77777777" w:rsidR="00E94288" w:rsidRPr="00C80817" w:rsidRDefault="00E94288"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2004-2006</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0C1572ED" w14:textId="77777777" w:rsidR="00E94288" w:rsidRPr="00C80817" w:rsidRDefault="00E94288"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2007-2009</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2DE6A1CD" w14:textId="77777777" w:rsidR="00E94288" w:rsidRPr="00C80817" w:rsidRDefault="00E94288"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2010-2013</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03D9F5B1" w14:textId="77777777" w:rsidR="00E94288" w:rsidRPr="00C80817" w:rsidRDefault="00E94288"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2014-2017</w:t>
            </w:r>
          </w:p>
        </w:tc>
      </w:tr>
      <w:tr w:rsidR="00E94288" w:rsidRPr="00C80817" w14:paraId="1581E3E4"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C62E2D1" w14:textId="365864EC"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1.</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potravinářských výrobků</w:t>
            </w:r>
          </w:p>
        </w:tc>
        <w:tc>
          <w:tcPr>
            <w:tcW w:w="982" w:type="dxa"/>
            <w:tcBorders>
              <w:top w:val="single" w:sz="4" w:space="0" w:color="auto"/>
              <w:left w:val="single" w:sz="4" w:space="0" w:color="auto"/>
              <w:bottom w:val="single" w:sz="4" w:space="0" w:color="auto"/>
              <w:right w:val="single" w:sz="4" w:space="0" w:color="auto"/>
            </w:tcBorders>
            <w:shd w:val="clear" w:color="000000" w:fill="DBE5F4"/>
            <w:noWrap/>
            <w:vAlign w:val="bottom"/>
            <w:hideMark/>
          </w:tcPr>
          <w:p w14:paraId="38A446D1"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1,090</w:t>
            </w:r>
          </w:p>
        </w:tc>
        <w:tc>
          <w:tcPr>
            <w:tcW w:w="813"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113D8011"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1,056</w:t>
            </w:r>
          </w:p>
        </w:tc>
        <w:tc>
          <w:tcPr>
            <w:tcW w:w="813" w:type="dxa"/>
            <w:tcBorders>
              <w:top w:val="single" w:sz="4" w:space="0" w:color="auto"/>
              <w:left w:val="single" w:sz="4" w:space="0" w:color="auto"/>
              <w:bottom w:val="single" w:sz="4" w:space="0" w:color="auto"/>
              <w:right w:val="single" w:sz="4" w:space="0" w:color="auto"/>
            </w:tcBorders>
            <w:shd w:val="clear" w:color="000000" w:fill="FBECEF"/>
            <w:noWrap/>
            <w:vAlign w:val="bottom"/>
            <w:hideMark/>
          </w:tcPr>
          <w:p w14:paraId="7F66D23B"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0,978</w:t>
            </w:r>
          </w:p>
        </w:tc>
        <w:tc>
          <w:tcPr>
            <w:tcW w:w="813" w:type="dxa"/>
            <w:tcBorders>
              <w:top w:val="single" w:sz="4" w:space="0" w:color="auto"/>
              <w:left w:val="single" w:sz="4" w:space="0" w:color="auto"/>
              <w:bottom w:val="single" w:sz="4" w:space="0" w:color="auto"/>
              <w:right w:val="single" w:sz="4" w:space="0" w:color="auto"/>
            </w:tcBorders>
            <w:shd w:val="clear" w:color="000000" w:fill="FBE4E7"/>
            <w:noWrap/>
            <w:vAlign w:val="bottom"/>
            <w:hideMark/>
          </w:tcPr>
          <w:p w14:paraId="269C1B45"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0,950</w:t>
            </w:r>
          </w:p>
        </w:tc>
      </w:tr>
      <w:tr w:rsidR="00E94288" w:rsidRPr="00C80817" w14:paraId="7C537073"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3106E55" w14:textId="2CFCF8B9"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2.</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textilu, oděvů, kůže a příbuzných výrobků</w:t>
            </w:r>
          </w:p>
        </w:tc>
        <w:tc>
          <w:tcPr>
            <w:tcW w:w="982"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186577D1"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1,060</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07B2449A"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1,084</w:t>
            </w:r>
          </w:p>
        </w:tc>
        <w:tc>
          <w:tcPr>
            <w:tcW w:w="813"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5CFE79D9"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0,998</w:t>
            </w:r>
          </w:p>
        </w:tc>
        <w:tc>
          <w:tcPr>
            <w:tcW w:w="813"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299552A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0,991</w:t>
            </w:r>
          </w:p>
        </w:tc>
      </w:tr>
      <w:tr w:rsidR="00E94288" w:rsidRPr="00C80817" w14:paraId="65E1A6D1"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280DDB1F" w14:textId="199D1C55"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3.</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dřeva, papíru, tisk a reprodukce</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369C0B1B"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0,990</w:t>
            </w:r>
          </w:p>
        </w:tc>
        <w:tc>
          <w:tcPr>
            <w:tcW w:w="813" w:type="dxa"/>
            <w:tcBorders>
              <w:top w:val="single" w:sz="4" w:space="0" w:color="auto"/>
              <w:left w:val="single" w:sz="4" w:space="0" w:color="auto"/>
              <w:bottom w:val="single" w:sz="4" w:space="0" w:color="auto"/>
              <w:right w:val="single" w:sz="4" w:space="0" w:color="auto"/>
            </w:tcBorders>
            <w:shd w:val="clear" w:color="000000" w:fill="E9EFF9"/>
            <w:noWrap/>
            <w:vAlign w:val="bottom"/>
            <w:hideMark/>
          </w:tcPr>
          <w:p w14:paraId="1B62D24B"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1,065</w:t>
            </w:r>
          </w:p>
        </w:tc>
        <w:tc>
          <w:tcPr>
            <w:tcW w:w="81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392A45A9"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1,006</w:t>
            </w:r>
          </w:p>
        </w:tc>
        <w:tc>
          <w:tcPr>
            <w:tcW w:w="813"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25BF4A0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0,996</w:t>
            </w:r>
          </w:p>
        </w:tc>
      </w:tr>
      <w:tr w:rsidR="00E94288" w:rsidRPr="00C80817" w14:paraId="60200ED0"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1CC9829C" w14:textId="37E821C4"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4.</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koksu a rafinovaných ropných produktů</w:t>
            </w:r>
          </w:p>
        </w:tc>
        <w:tc>
          <w:tcPr>
            <w:tcW w:w="98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9A4569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0,536</w:t>
            </w:r>
          </w:p>
        </w:tc>
        <w:tc>
          <w:tcPr>
            <w:tcW w:w="813" w:type="dxa"/>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309BAADD"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1,303</w:t>
            </w:r>
          </w:p>
        </w:tc>
        <w:tc>
          <w:tcPr>
            <w:tcW w:w="813" w:type="dxa"/>
            <w:tcBorders>
              <w:top w:val="single" w:sz="4" w:space="0" w:color="auto"/>
              <w:left w:val="single" w:sz="4" w:space="0" w:color="auto"/>
              <w:bottom w:val="single" w:sz="4" w:space="0" w:color="auto"/>
              <w:right w:val="single" w:sz="4" w:space="0" w:color="auto"/>
            </w:tcBorders>
            <w:shd w:val="clear" w:color="000000" w:fill="FBDEE0"/>
            <w:noWrap/>
            <w:vAlign w:val="bottom"/>
            <w:hideMark/>
          </w:tcPr>
          <w:p w14:paraId="5EF6B46E"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0,929</w:t>
            </w:r>
          </w:p>
        </w:tc>
        <w:tc>
          <w:tcPr>
            <w:tcW w:w="813" w:type="dxa"/>
            <w:tcBorders>
              <w:top w:val="single" w:sz="4" w:space="0" w:color="auto"/>
              <w:left w:val="single" w:sz="4" w:space="0" w:color="auto"/>
              <w:bottom w:val="single" w:sz="4" w:space="0" w:color="auto"/>
              <w:right w:val="single" w:sz="4" w:space="0" w:color="auto"/>
            </w:tcBorders>
            <w:shd w:val="clear" w:color="000000" w:fill="D4E0F1"/>
            <w:noWrap/>
            <w:vAlign w:val="bottom"/>
            <w:hideMark/>
          </w:tcPr>
          <w:p w14:paraId="3974B92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1,105</w:t>
            </w:r>
          </w:p>
        </w:tc>
      </w:tr>
      <w:tr w:rsidR="00E94288" w:rsidRPr="00C80817" w14:paraId="4243957F"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8E532C7" w14:textId="2199DFC2"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5.</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chemikálií a chemických výrobků</w:t>
            </w:r>
          </w:p>
        </w:tc>
        <w:tc>
          <w:tcPr>
            <w:tcW w:w="982"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1BD9E7BE"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1,047</w:t>
            </w:r>
          </w:p>
        </w:tc>
        <w:tc>
          <w:tcPr>
            <w:tcW w:w="813" w:type="dxa"/>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119C29A3"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1,062</w:t>
            </w:r>
          </w:p>
        </w:tc>
        <w:tc>
          <w:tcPr>
            <w:tcW w:w="813" w:type="dxa"/>
            <w:tcBorders>
              <w:top w:val="single" w:sz="4" w:space="0" w:color="auto"/>
              <w:left w:val="single" w:sz="4" w:space="0" w:color="auto"/>
              <w:bottom w:val="single" w:sz="4" w:space="0" w:color="auto"/>
              <w:right w:val="single" w:sz="4" w:space="0" w:color="auto"/>
            </w:tcBorders>
            <w:shd w:val="clear" w:color="000000" w:fill="FBDBDE"/>
            <w:noWrap/>
            <w:vAlign w:val="bottom"/>
            <w:hideMark/>
          </w:tcPr>
          <w:p w14:paraId="2EF5FBE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0,921</w:t>
            </w:r>
          </w:p>
        </w:tc>
        <w:tc>
          <w:tcPr>
            <w:tcW w:w="81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2DCC99EA"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1,006</w:t>
            </w:r>
          </w:p>
        </w:tc>
      </w:tr>
      <w:tr w:rsidR="00E94288" w:rsidRPr="00C80817" w14:paraId="7FC417B3"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5CAF5DD" w14:textId="0B2B7201"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6.</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základních farmaceutických výrobků </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4646F92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0,990</w:t>
            </w:r>
          </w:p>
        </w:tc>
        <w:tc>
          <w:tcPr>
            <w:tcW w:w="813" w:type="dxa"/>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2BD0124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1,072</w:t>
            </w:r>
          </w:p>
        </w:tc>
        <w:tc>
          <w:tcPr>
            <w:tcW w:w="813" w:type="dxa"/>
            <w:tcBorders>
              <w:top w:val="single" w:sz="4" w:space="0" w:color="auto"/>
              <w:left w:val="single" w:sz="4" w:space="0" w:color="auto"/>
              <w:bottom w:val="single" w:sz="4" w:space="0" w:color="auto"/>
              <w:right w:val="single" w:sz="4" w:space="0" w:color="auto"/>
            </w:tcBorders>
            <w:shd w:val="clear" w:color="000000" w:fill="FAD0D2"/>
            <w:noWrap/>
            <w:vAlign w:val="bottom"/>
            <w:hideMark/>
          </w:tcPr>
          <w:p w14:paraId="685AC6FF"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0,882</w:t>
            </w:r>
          </w:p>
        </w:tc>
        <w:tc>
          <w:tcPr>
            <w:tcW w:w="813" w:type="dxa"/>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7D911939"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1,121</w:t>
            </w:r>
          </w:p>
        </w:tc>
      </w:tr>
      <w:tr w:rsidR="00E94288" w:rsidRPr="00C80817" w14:paraId="6A93D700"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20CE3C3E" w14:textId="3C23AE7D"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7.</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pryžových a plastových výrobků</w:t>
            </w:r>
          </w:p>
        </w:tc>
        <w:tc>
          <w:tcPr>
            <w:tcW w:w="982"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2E9E713"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1,020</w:t>
            </w:r>
          </w:p>
        </w:tc>
        <w:tc>
          <w:tcPr>
            <w:tcW w:w="813"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0252817F"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1,056</w:t>
            </w:r>
          </w:p>
        </w:tc>
        <w:tc>
          <w:tcPr>
            <w:tcW w:w="813"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323EA474"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1,018</w:t>
            </w:r>
          </w:p>
        </w:tc>
        <w:tc>
          <w:tcPr>
            <w:tcW w:w="813"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2837BC47"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1,017</w:t>
            </w:r>
          </w:p>
        </w:tc>
      </w:tr>
      <w:tr w:rsidR="00E94288" w:rsidRPr="00C80817" w14:paraId="1F922D4B"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4ABFAAF" w14:textId="038F514F"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8.</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základních kovů a kovodělných výrobků,</w:t>
            </w:r>
          </w:p>
        </w:tc>
        <w:tc>
          <w:tcPr>
            <w:tcW w:w="982"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4BCE3B1"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1,018</w:t>
            </w:r>
          </w:p>
        </w:tc>
        <w:tc>
          <w:tcPr>
            <w:tcW w:w="813"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2D77C828"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1,011</w:t>
            </w:r>
          </w:p>
        </w:tc>
        <w:tc>
          <w:tcPr>
            <w:tcW w:w="813"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67466B9D"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0,989</w:t>
            </w:r>
          </w:p>
        </w:tc>
        <w:tc>
          <w:tcPr>
            <w:tcW w:w="813" w:type="dxa"/>
            <w:tcBorders>
              <w:top w:val="single" w:sz="4" w:space="0" w:color="auto"/>
              <w:left w:val="single" w:sz="4" w:space="0" w:color="auto"/>
              <w:bottom w:val="single" w:sz="4" w:space="0" w:color="auto"/>
              <w:right w:val="single" w:sz="4" w:space="0" w:color="auto"/>
            </w:tcBorders>
            <w:shd w:val="clear" w:color="000000" w:fill="FBFBFF"/>
            <w:noWrap/>
            <w:vAlign w:val="bottom"/>
            <w:hideMark/>
          </w:tcPr>
          <w:p w14:paraId="139B5203"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1,033</w:t>
            </w:r>
          </w:p>
        </w:tc>
      </w:tr>
      <w:tr w:rsidR="00E94288" w:rsidRPr="00C80817" w14:paraId="5B40D019"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5E04C0B" w14:textId="22E3F2F8"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9.</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počítačových, elektronických a optických pro</w:t>
            </w:r>
          </w:p>
        </w:tc>
        <w:tc>
          <w:tcPr>
            <w:tcW w:w="982" w:type="dxa"/>
            <w:tcBorders>
              <w:top w:val="single" w:sz="4" w:space="0" w:color="auto"/>
              <w:left w:val="single" w:sz="4" w:space="0" w:color="auto"/>
              <w:bottom w:val="single" w:sz="4" w:space="0" w:color="auto"/>
              <w:right w:val="single" w:sz="4" w:space="0" w:color="auto"/>
            </w:tcBorders>
            <w:shd w:val="clear" w:color="000000" w:fill="C1D3EB"/>
            <w:noWrap/>
            <w:vAlign w:val="bottom"/>
            <w:hideMark/>
          </w:tcPr>
          <w:p w14:paraId="48D22BDF"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1,139</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41E9D6BD"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1,084</w:t>
            </w:r>
          </w:p>
        </w:tc>
        <w:tc>
          <w:tcPr>
            <w:tcW w:w="813"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42DFEA8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1,048</w:t>
            </w:r>
          </w:p>
        </w:tc>
        <w:tc>
          <w:tcPr>
            <w:tcW w:w="813"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2334022D"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1,023</w:t>
            </w:r>
          </w:p>
        </w:tc>
      </w:tr>
      <w:tr w:rsidR="00E94288" w:rsidRPr="00C80817" w14:paraId="1211F97D"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607C4132" w14:textId="1D1BB012"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10.</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elektrických zařízení</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DE0D82"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1,031</w:t>
            </w:r>
          </w:p>
        </w:tc>
        <w:tc>
          <w:tcPr>
            <w:tcW w:w="813" w:type="dxa"/>
            <w:tcBorders>
              <w:top w:val="single" w:sz="4" w:space="0" w:color="auto"/>
              <w:left w:val="single" w:sz="4" w:space="0" w:color="auto"/>
              <w:bottom w:val="single" w:sz="4" w:space="0" w:color="auto"/>
              <w:right w:val="single" w:sz="4" w:space="0" w:color="auto"/>
            </w:tcBorders>
            <w:shd w:val="clear" w:color="000000" w:fill="DDE7F5"/>
            <w:noWrap/>
            <w:vAlign w:val="bottom"/>
            <w:hideMark/>
          </w:tcPr>
          <w:p w14:paraId="76B8EEBE"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1,087</w:t>
            </w:r>
          </w:p>
        </w:tc>
        <w:tc>
          <w:tcPr>
            <w:tcW w:w="813" w:type="dxa"/>
            <w:tcBorders>
              <w:top w:val="single" w:sz="4" w:space="0" w:color="auto"/>
              <w:left w:val="single" w:sz="4" w:space="0" w:color="auto"/>
              <w:bottom w:val="single" w:sz="4" w:space="0" w:color="auto"/>
              <w:right w:val="single" w:sz="4" w:space="0" w:color="auto"/>
            </w:tcBorders>
            <w:shd w:val="clear" w:color="000000" w:fill="E3EBF7"/>
            <w:noWrap/>
            <w:vAlign w:val="bottom"/>
            <w:hideMark/>
          </w:tcPr>
          <w:p w14:paraId="2FABE9E8"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1,076</w:t>
            </w:r>
          </w:p>
        </w:tc>
        <w:tc>
          <w:tcPr>
            <w:tcW w:w="813"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1393EE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1,028</w:t>
            </w:r>
          </w:p>
        </w:tc>
      </w:tr>
      <w:tr w:rsidR="00E94288" w:rsidRPr="00C80817" w14:paraId="43D76BDF"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569CF797" w14:textId="4CF4FACB"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11.</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strojů a zařízení </w:t>
            </w:r>
          </w:p>
        </w:tc>
        <w:tc>
          <w:tcPr>
            <w:tcW w:w="982" w:type="dxa"/>
            <w:tcBorders>
              <w:top w:val="single" w:sz="4" w:space="0" w:color="auto"/>
              <w:left w:val="single" w:sz="4" w:space="0" w:color="auto"/>
              <w:bottom w:val="single" w:sz="4" w:space="0" w:color="auto"/>
              <w:right w:val="single" w:sz="4" w:space="0" w:color="auto"/>
            </w:tcBorders>
            <w:shd w:val="clear" w:color="000000" w:fill="E0E9F6"/>
            <w:noWrap/>
            <w:vAlign w:val="bottom"/>
            <w:hideMark/>
          </w:tcPr>
          <w:p w14:paraId="5ED34B1F"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1,081</w:t>
            </w:r>
          </w:p>
        </w:tc>
        <w:tc>
          <w:tcPr>
            <w:tcW w:w="813" w:type="dxa"/>
            <w:tcBorders>
              <w:top w:val="single" w:sz="4" w:space="0" w:color="auto"/>
              <w:left w:val="single" w:sz="4" w:space="0" w:color="auto"/>
              <w:bottom w:val="single" w:sz="4" w:space="0" w:color="auto"/>
              <w:right w:val="single" w:sz="4" w:space="0" w:color="auto"/>
            </w:tcBorders>
            <w:shd w:val="clear" w:color="000000" w:fill="91B1DA"/>
            <w:noWrap/>
            <w:vAlign w:val="bottom"/>
            <w:hideMark/>
          </w:tcPr>
          <w:p w14:paraId="6AF5DA59"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1,228</w:t>
            </w:r>
          </w:p>
        </w:tc>
        <w:tc>
          <w:tcPr>
            <w:tcW w:w="813"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74C66C5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0,994</w:t>
            </w:r>
          </w:p>
        </w:tc>
        <w:tc>
          <w:tcPr>
            <w:tcW w:w="813" w:type="dxa"/>
            <w:tcBorders>
              <w:top w:val="single" w:sz="4" w:space="0" w:color="auto"/>
              <w:left w:val="single" w:sz="4" w:space="0" w:color="auto"/>
              <w:bottom w:val="single" w:sz="4" w:space="0" w:color="auto"/>
              <w:right w:val="single" w:sz="4" w:space="0" w:color="auto"/>
            </w:tcBorders>
            <w:shd w:val="clear" w:color="000000" w:fill="FBDFE2"/>
            <w:noWrap/>
            <w:vAlign w:val="bottom"/>
            <w:hideMark/>
          </w:tcPr>
          <w:p w14:paraId="7B37F224"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0,934</w:t>
            </w:r>
          </w:p>
        </w:tc>
      </w:tr>
      <w:tr w:rsidR="00E94288" w:rsidRPr="00C80817" w14:paraId="29E6BAA8"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A522CC5" w14:textId="798D0E6F"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12.</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motorových vozidel,</w:t>
            </w:r>
          </w:p>
        </w:tc>
        <w:tc>
          <w:tcPr>
            <w:tcW w:w="982"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7D8C4479"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1,010</w:t>
            </w:r>
          </w:p>
        </w:tc>
        <w:tc>
          <w:tcPr>
            <w:tcW w:w="813"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092BDE08"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1,060</w:t>
            </w:r>
          </w:p>
        </w:tc>
        <w:tc>
          <w:tcPr>
            <w:tcW w:w="813"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72F186F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0,966</w:t>
            </w:r>
          </w:p>
        </w:tc>
        <w:tc>
          <w:tcPr>
            <w:tcW w:w="813"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36D46696"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0,985</w:t>
            </w:r>
          </w:p>
        </w:tc>
      </w:tr>
      <w:tr w:rsidR="00E94288" w:rsidRPr="00C80817" w14:paraId="5C6FA82F" w14:textId="77777777" w:rsidTr="00E94288">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139399EC" w14:textId="7C0A6676" w:rsidR="00E94288" w:rsidRPr="00C80817" w:rsidRDefault="00E94288" w:rsidP="00C80817">
            <w:pPr>
              <w:spacing w:after="0" w:line="240" w:lineRule="auto"/>
              <w:rPr>
                <w:rFonts w:ascii="Calibri" w:eastAsia="Times New Roman" w:hAnsi="Calibri" w:cs="Calibri"/>
                <w:color w:val="000000"/>
                <w:lang w:eastAsia="cs-CZ"/>
              </w:rPr>
            </w:pPr>
            <w:proofErr w:type="gramStart"/>
            <w:r>
              <w:rPr>
                <w:rFonts w:ascii="Calibri" w:eastAsia="Times New Roman" w:hAnsi="Calibri" w:cs="Calibri"/>
                <w:color w:val="000000"/>
                <w:lang w:eastAsia="cs-CZ"/>
              </w:rPr>
              <w:t>13.</w:t>
            </w:r>
            <w:r w:rsidRPr="00C80817">
              <w:rPr>
                <w:rFonts w:ascii="Calibri" w:eastAsia="Times New Roman" w:hAnsi="Calibri" w:cs="Calibri"/>
                <w:color w:val="000000"/>
                <w:lang w:eastAsia="cs-CZ"/>
              </w:rPr>
              <w:t>Výroba</w:t>
            </w:r>
            <w:proofErr w:type="gramEnd"/>
            <w:r w:rsidRPr="00C80817">
              <w:rPr>
                <w:rFonts w:ascii="Calibri" w:eastAsia="Times New Roman" w:hAnsi="Calibri" w:cs="Calibri"/>
                <w:color w:val="000000"/>
                <w:lang w:eastAsia="cs-CZ"/>
              </w:rPr>
              <w:t xml:space="preserve"> nábytku</w:t>
            </w:r>
          </w:p>
        </w:tc>
        <w:tc>
          <w:tcPr>
            <w:tcW w:w="982"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2084B2E0"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1,002</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1DCF016F"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1,083</w:t>
            </w:r>
          </w:p>
        </w:tc>
        <w:tc>
          <w:tcPr>
            <w:tcW w:w="813"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976D2C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1,020</w:t>
            </w:r>
          </w:p>
        </w:tc>
        <w:tc>
          <w:tcPr>
            <w:tcW w:w="813"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4E819CEC" w14:textId="77777777" w:rsidR="00E94288" w:rsidRPr="00C80817" w:rsidRDefault="00E94288"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0,980</w:t>
            </w:r>
          </w:p>
        </w:tc>
      </w:tr>
    </w:tbl>
    <w:p w14:paraId="3765168D" w14:textId="3C1EFAA3" w:rsidR="00147414" w:rsidRDefault="00147414" w:rsidP="00281C82">
      <w:pPr>
        <w:jc w:val="both"/>
      </w:pPr>
    </w:p>
    <w:p w14:paraId="00754846" w14:textId="542875E3" w:rsidR="0090718B" w:rsidRDefault="0090718B" w:rsidP="0090718B">
      <w:pPr>
        <w:jc w:val="both"/>
      </w:pPr>
      <w:r>
        <w:t xml:space="preserve">Uvedené výsledky nám ukazují, že zejména v období velkého ekonomického poklesu v letech 2008 a 2009 </w:t>
      </w:r>
      <w:proofErr w:type="gramStart"/>
      <w:r>
        <w:t>došlo k v vyššímu</w:t>
      </w:r>
      <w:proofErr w:type="gramEnd"/>
      <w:r>
        <w:t xml:space="preserve"> růstu produktivity ve všech průmyslových odvětvích zemí V4 oproti Německým. Naopak  v </w:t>
      </w:r>
      <w:proofErr w:type="gramStart"/>
      <w:r>
        <w:t>následným</w:t>
      </w:r>
      <w:proofErr w:type="gramEnd"/>
      <w:r>
        <w:t xml:space="preserve"> letech daným rychlým růstem a následným velmým poklesem došlo u některých odvětví k výraznému propadu</w:t>
      </w:r>
      <w:r w:rsidR="00E94288">
        <w:t xml:space="preserve"> zejména v oblastech výroby strojů, chemické a farmaceutickém průmyslu</w:t>
      </w:r>
      <w:r>
        <w:t xml:space="preserve">.  Naopak následné období velkého růstu s vedlo u všetšiny odvětví zemí V4 k snižování produktivity práce. </w:t>
      </w:r>
    </w:p>
    <w:p w14:paraId="0B8209C6" w14:textId="21E377CB" w:rsidR="00147414" w:rsidRDefault="00147414" w:rsidP="00281C82">
      <w:pPr>
        <w:jc w:val="both"/>
      </w:pPr>
    </w:p>
    <w:p w14:paraId="715F745E" w14:textId="5DF27AF5" w:rsidR="00B44D32" w:rsidRDefault="00B44D32" w:rsidP="00B44D32"/>
    <w:p w14:paraId="3A63EEFB" w14:textId="26D3F531" w:rsidR="00EE74C3" w:rsidRDefault="00EE74C3" w:rsidP="00B44D32"/>
    <w:p w14:paraId="2C7222C2" w14:textId="31AC2AAB" w:rsidR="00EE74C3" w:rsidRDefault="00EE74C3" w:rsidP="00B44D32"/>
    <w:p w14:paraId="34EDB2D2" w14:textId="1DF1EDD2" w:rsidR="00EE74C3" w:rsidRDefault="00EE74C3" w:rsidP="00B44D32"/>
    <w:p w14:paraId="653D485C" w14:textId="7B0DDEAA" w:rsidR="00EE74C3" w:rsidRDefault="00EE74C3" w:rsidP="00B44D32"/>
    <w:p w14:paraId="5E241984" w14:textId="29F3BD3D" w:rsidR="00EE74C3" w:rsidRDefault="00EE74C3" w:rsidP="00B44D32"/>
    <w:p w14:paraId="06AF904D" w14:textId="183F83DC" w:rsidR="00EE74C3" w:rsidRDefault="00EE74C3" w:rsidP="00B44D32"/>
    <w:p w14:paraId="57B25700" w14:textId="6FC09129" w:rsidR="00EE74C3" w:rsidRDefault="00EE74C3" w:rsidP="00B44D32"/>
    <w:p w14:paraId="498DBCE4" w14:textId="5D945F5A" w:rsidR="00EE74C3" w:rsidRDefault="00EE74C3" w:rsidP="00B44D32"/>
    <w:p w14:paraId="201AE873" w14:textId="77777777" w:rsidR="00EE74C3" w:rsidRDefault="00EE74C3" w:rsidP="00B44D32"/>
    <w:p w14:paraId="5E120409" w14:textId="77777777" w:rsidR="001C0F34" w:rsidRPr="003133BF" w:rsidRDefault="001C0F34" w:rsidP="001C0F34">
      <w:pPr>
        <w:rPr>
          <w:b/>
        </w:rPr>
      </w:pPr>
      <w:r w:rsidRPr="003133BF">
        <w:rPr>
          <w:b/>
        </w:rPr>
        <w:lastRenderedPageBreak/>
        <w:t xml:space="preserve">Závěr </w:t>
      </w:r>
    </w:p>
    <w:p w14:paraId="7431A9BA" w14:textId="77777777" w:rsidR="001C0F34" w:rsidRDefault="001C0F34" w:rsidP="001C0F34">
      <w:pPr>
        <w:jc w:val="both"/>
      </w:pPr>
      <w:r>
        <w:t xml:space="preserve">Představená studie zaměřená na oblast odvětvové produktivity práce ve zpracovatelském průmyslu zemí V4 ukázala, že toto odvětví hraje v těchto státech zásadní roli v oblasti zaměstnanosti a tvorby přidané hodnoty v zemích V4.  Jde o </w:t>
      </w:r>
      <w:proofErr w:type="gramStart"/>
      <w:r>
        <w:t>odvětví jehož</w:t>
      </w:r>
      <w:proofErr w:type="gramEnd"/>
      <w:r>
        <w:t xml:space="preserve"> význam od roku 2004 se výrazně zvýšil, kdy podíl na celkové výkonosti ekonomik zemí V4 se zvýšil od roku vstupu do EU o více než 10 procentních bodů.  Na druhé straně pokud srovnáme velikosti produktivity v zemích V4 a Německu zjistíme, že státy výrazně nižší úrovně u produktivit. Úroveň produktivity práce dosahuje přibližně 40 % průměru </w:t>
      </w:r>
      <w:proofErr w:type="spellStart"/>
      <w:r>
        <w:t>Německ</w:t>
      </w:r>
      <w:proofErr w:type="spellEnd"/>
      <w:r>
        <w:t xml:space="preserve">,  u produktivity kapitálu 70 % a u vybavenosti práce kapitálem (C-L ratio) </w:t>
      </w:r>
      <w:proofErr w:type="gramStart"/>
      <w:r>
        <w:t>75 % .  U ukazatele</w:t>
      </w:r>
      <w:proofErr w:type="gramEnd"/>
      <w:r>
        <w:t xml:space="preserve"> TFP již tak výrazné rozdíly nejsou.  Odlišný pohled lze vidět při srovnání tempa růstu těchto veličin </w:t>
      </w:r>
      <w:proofErr w:type="spellStart"/>
      <w:r>
        <w:t>téměr</w:t>
      </w:r>
      <w:proofErr w:type="spellEnd"/>
      <w:r>
        <w:t xml:space="preserve"> všechny země V4 v tempech růstu převyšují růst německého průmyslu a to i v oblasti vybavenosti práce kapitálem. Další část se zabývala zdroji růstu v průmyslu zemí V4 v kontextu hospodářského cyklu Německa. Výsledek ukázal, že v obdobích velké ekonomické krize 2007 – 2009 převažoval intenzivní růstů v zemích V4 oproti Německu. Naopak v obdobích rychlého růstu či pozvolného růstu v posledních 7 letech převažovali extenzivní zdroje růstu jak zemích V4, tak i  Německu.   Vývoj průměrných hodnot TFP byl od roku 2010 velmi podobný v zemích V4 jako v Německu. </w:t>
      </w:r>
    </w:p>
    <w:p w14:paraId="30494A52" w14:textId="77777777" w:rsidR="001C0F34" w:rsidRDefault="001C0F34" w:rsidP="001C0F34">
      <w:pPr>
        <w:jc w:val="both"/>
      </w:pPr>
      <w:r>
        <w:t xml:space="preserve">Druhá hlavní část analýzy byla zaměřena na jednotlivé oddíly zpracovatelského průmyslu. Od roku 2004 se význam některých oddílů </w:t>
      </w:r>
      <w:proofErr w:type="gramStart"/>
      <w:r>
        <w:t>zvýšil jako</w:t>
      </w:r>
      <w:proofErr w:type="gramEnd"/>
      <w:r>
        <w:t xml:space="preserve"> jsou oddíly zaměřené na oblast strojírenství či výrobu počítačů. Naopak význam některých oborů  čase, klesal a to jak z hlediska produkčního, tak z hlediska zaměstnanosti. Mezi  tyto průmyslové oddíly můžeme zařadit potravinářský, textilní a dřevozpracujícího průmyslu.  Další část analýzy byla zaměřena </w:t>
      </w:r>
      <w:proofErr w:type="gramStart"/>
      <w:r>
        <w:t>zhodnocení zda</w:t>
      </w:r>
      <w:proofErr w:type="gramEnd"/>
      <w:r>
        <w:t xml:space="preserve"> v zemích V4  za dochází ke </w:t>
      </w:r>
      <w:r w:rsidRPr="0034046F">
        <w:t xml:space="preserve"> </w:t>
      </w:r>
      <w:r>
        <w:t xml:space="preserve">beta a sigma  konvergenci u jednotlivých oddílů zpracovatelského průmyslu zemí V4.  Záporný parametr sklonu ukázal, že  k </w:t>
      </w:r>
      <w:proofErr w:type="gramStart"/>
      <w:r>
        <w:t>beta</w:t>
      </w:r>
      <w:proofErr w:type="gramEnd"/>
      <w:r>
        <w:t xml:space="preserve"> konvergenci v rámci jednotlivých oddílů průmyslu pouze v Maďarsku, Polsku a Česku na zvolené hladině významnosti (</w:t>
      </w:r>
      <w:r>
        <w:rPr>
          <w:rFonts w:ascii="Arial" w:hAnsi="Arial" w:cs="Arial"/>
          <w:color w:val="4D5156"/>
          <w:sz w:val="21"/>
          <w:szCs w:val="21"/>
          <w:shd w:val="clear" w:color="auto" w:fill="FFFFFF"/>
        </w:rPr>
        <w:t>α = </w:t>
      </w:r>
      <w:r>
        <w:rPr>
          <w:rStyle w:val="Zdraznn"/>
          <w:rFonts w:ascii="Arial" w:hAnsi="Arial" w:cs="Arial"/>
          <w:b/>
          <w:bCs/>
          <w:i w:val="0"/>
          <w:iCs w:val="0"/>
          <w:color w:val="5F6368"/>
          <w:sz w:val="21"/>
          <w:szCs w:val="21"/>
          <w:shd w:val="clear" w:color="auto" w:fill="FFFFFF"/>
        </w:rPr>
        <w:t>5 %)</w:t>
      </w:r>
      <w:r>
        <w:t>.  Pokud byl rozšířen region na celé V4 i zde se potvrdila beta konvergence na zvolené hladině významnosti avšak s nižší hodnotou indexu determinace R</w:t>
      </w:r>
      <w:r>
        <w:rPr>
          <w:vertAlign w:val="superscript"/>
        </w:rPr>
        <w:t>2</w:t>
      </w:r>
      <w:r>
        <w:t xml:space="preserve">=0,35.   Za pomocí bodového grafu a mediánu bylo vymezeno, které odvětví zaostávají v procesu konvergence z pohledu celého zpracovatelského průmyslu, kam můžeme zařadit odvětví potravinářského průmyslu, textilní průmysl a výroba nábytku. Na úrovni jednotlivých oddílů průmyslu byla zjišťována sigma konvergence mezi jednotlivými státy V4, která  se potvrdila přibližně v polovině oddílů. Nejvíce zastoupeny jsou oddíly zaměřené na produkci </w:t>
      </w:r>
      <w:proofErr w:type="spellStart"/>
      <w:r>
        <w:t>popíčtačů</w:t>
      </w:r>
      <w:proofErr w:type="spellEnd"/>
      <w:r>
        <w:t xml:space="preserve">, strojů, </w:t>
      </w:r>
      <w:proofErr w:type="spellStart"/>
      <w:r>
        <w:t>dopravvních</w:t>
      </w:r>
      <w:proofErr w:type="spellEnd"/>
      <w:r>
        <w:t xml:space="preserve"> prostředků, textilu či farmaceutických výrobků.  </w:t>
      </w:r>
    </w:p>
    <w:p w14:paraId="06B4E81C" w14:textId="77777777" w:rsidR="001C0F34" w:rsidRDefault="001C0F34" w:rsidP="001C0F34">
      <w:pPr>
        <w:jc w:val="both"/>
      </w:pPr>
      <w:proofErr w:type="gramStart"/>
      <w:r>
        <w:t>Hlavním</w:t>
      </w:r>
      <w:proofErr w:type="gramEnd"/>
      <w:r>
        <w:t xml:space="preserve"> části makroekonomické studie bylo  posoudit  jak se </w:t>
      </w:r>
      <w:proofErr w:type="gramStart"/>
      <w:r>
        <w:t>přibližují</w:t>
      </w:r>
      <w:proofErr w:type="gramEnd"/>
      <w:r>
        <w:t xml:space="preserve"> (dohánějí) po oddíly průmyslu v zemích V4 </w:t>
      </w:r>
      <w:r w:rsidRPr="006B3BEB">
        <w:t xml:space="preserve"> německému průmyslu v oblasti produktivity práce.</w:t>
      </w:r>
      <w:r>
        <w:rPr>
          <w:b/>
          <w:bCs/>
        </w:rPr>
        <w:t xml:space="preserve">  </w:t>
      </w:r>
      <w:r>
        <w:rPr>
          <w:bCs/>
        </w:rPr>
        <w:t>Grafické zobrazení mezery produktivity a změny této produktivity v čase  vymezilo skupinu odvětví sice s nízkou počáteční úrovní, ale současně s rychlým růstem -  výroba strojů a zařízení, výroba počítačů a výroba elektrických zařízení.  Na druhé straně  také vymezilo průmyslové oddíly  nižší mezerou produktivity, ale současně s nízkým tempem v dohánění produktivity práce – petrochemický průmysl, výroba koksu, ropných produktů a překvapivě výroba motorových vozidel.   Malá změna mezery u automobilového průmyslu neznamená nízký růstu produktivity práce, ale pouze situaci, růstu LP  pouze mírně převyšuje růst produktivity práce v automobilovém průmyslu v Německu.  Pokud se ovšem podíváme na to, které odvětví je „</w:t>
      </w:r>
      <w:r>
        <w:t xml:space="preserve">tahounem“ růstu produktivity práce v zemích je to práce automobilový průmysl a výroba plastů.  Naopak pokud posoudíme, které odvětví nejvíce přispívá ke snižování mezery produktivity měřené  LP </w:t>
      </w:r>
      <w:proofErr w:type="spellStart"/>
      <w:r>
        <w:t>catch</w:t>
      </w:r>
      <w:proofErr w:type="spellEnd"/>
      <w:r>
        <w:t xml:space="preserve">-up indexem potom jsou to oddíly zaměřené strojírenství a produkci počítačů.  </w:t>
      </w:r>
    </w:p>
    <w:p w14:paraId="6539361D" w14:textId="0D868BC7" w:rsidR="001C0F34" w:rsidRDefault="001C0F34" w:rsidP="001C0F34">
      <w:pPr>
        <w:jc w:val="both"/>
      </w:pPr>
      <w:r>
        <w:t xml:space="preserve">Podobnější odvětvová analýzy </w:t>
      </w:r>
      <w:proofErr w:type="gramStart"/>
      <w:r>
        <w:t>ze jednotlivé</w:t>
      </w:r>
      <w:proofErr w:type="gramEnd"/>
      <w:r>
        <w:t xml:space="preserve"> státy potvrdila, tyto závěry, kdy rozdělila odvětví dle typů dohánění na 4 skupiny. Spíše než odvětvové rozdíly jsou rozdíly z hlediska států, kdy u skupiny odvětví </w:t>
      </w:r>
      <w:r>
        <w:lastRenderedPageBreak/>
        <w:t>s rychlým doháněním převažují oddíly z </w:t>
      </w:r>
      <w:proofErr w:type="spellStart"/>
      <w:r>
        <w:t>Poslska</w:t>
      </w:r>
      <w:proofErr w:type="spellEnd"/>
      <w:r>
        <w:t xml:space="preserve"> a Česka. Naopak skupina nazvaná růst mezery ve, které oddíly </w:t>
      </w:r>
      <w:proofErr w:type="gramStart"/>
      <w:r>
        <w:t>zaostávají jso</w:t>
      </w:r>
      <w:r w:rsidR="003133BF">
        <w:t>u</w:t>
      </w:r>
      <w:proofErr w:type="gramEnd"/>
      <w:r w:rsidR="003133BF">
        <w:t xml:space="preserve"> především odvětví z Maďarska. Určitý vliv ohledně odvětví a jejich dohánění hraje i hospodářsky cyklus. Zejména v období recese došlo k výraznému přiblížení, tedy negativní dopad na produktivitu práce nebyl tak výrazný</w:t>
      </w:r>
      <w:r w:rsidR="00810C3B">
        <w:t xml:space="preserve"> v zemích V4 jako v Německu. </w:t>
      </w:r>
      <w:r w:rsidR="003133BF">
        <w:t xml:space="preserve"> </w:t>
      </w:r>
    </w:p>
    <w:p w14:paraId="5EDDDC5C" w14:textId="759F1B6B" w:rsidR="001C0F34" w:rsidRDefault="001C0F34" w:rsidP="001C0F34">
      <w:pPr>
        <w:jc w:val="both"/>
      </w:pPr>
      <w:r>
        <w:t xml:space="preserve">Poslední analýza byla </w:t>
      </w:r>
      <w:r w:rsidR="00EE74C3">
        <w:t>zaměřená, zda</w:t>
      </w:r>
      <w:r>
        <w:t xml:space="preserve"> má vliv technologická intensita odvětví na přibližování v oblasti produktivity práce.  Oddílům průmyslu s vysokou technologickou intensitou v zemích V4 se podařilo více snížit mezeru produktu (-10,4)  oproti průmyslovým oddílům s nízkou technologickou intensitou (-8,25).</w:t>
      </w:r>
      <w:r w:rsidR="003133BF">
        <w:t xml:space="preserve"> </w:t>
      </w:r>
      <w:r>
        <w:t xml:space="preserve">   </w:t>
      </w:r>
    </w:p>
    <w:p w14:paraId="07CBB56E" w14:textId="7DAD0105" w:rsidR="00F81027" w:rsidRDefault="00F81027" w:rsidP="00281C82">
      <w:pPr>
        <w:jc w:val="both"/>
      </w:pPr>
    </w:p>
    <w:p w14:paraId="710D11B4" w14:textId="24CE4579" w:rsidR="00810C3B" w:rsidRDefault="00810C3B" w:rsidP="00281C82">
      <w:pPr>
        <w:jc w:val="both"/>
      </w:pPr>
      <w:r>
        <w:t>Analýza vymezila hlavní odvětví, které ve státech V4 mají největší přínos pro dohánění produktivity práce Německého průmyslu jako</w:t>
      </w:r>
      <w:r w:rsidR="00423DEC">
        <w:t xml:space="preserve"> největšího obchodního partnera všech zemí V4. </w:t>
      </w:r>
      <w:bookmarkStart w:id="0" w:name="_GoBack"/>
      <w:bookmarkEnd w:id="0"/>
    </w:p>
    <w:p w14:paraId="7BBF9162" w14:textId="77777777" w:rsidR="00810C3B" w:rsidRDefault="00810C3B" w:rsidP="00281C82">
      <w:pPr>
        <w:jc w:val="both"/>
      </w:pPr>
    </w:p>
    <w:p w14:paraId="594C3E76" w14:textId="1275B828" w:rsidR="00F81027" w:rsidRDefault="003133BF" w:rsidP="00281C82">
      <w:pPr>
        <w:jc w:val="both"/>
      </w:pPr>
      <w:r>
        <w:t xml:space="preserve">Pokud </w:t>
      </w:r>
      <w:proofErr w:type="spellStart"/>
      <w:r>
        <w:t>ted</w:t>
      </w:r>
      <w:proofErr w:type="spellEnd"/>
    </w:p>
    <w:p w14:paraId="26AD4072" w14:textId="77777777" w:rsidR="00F81027" w:rsidRDefault="00F81027" w:rsidP="00281C82">
      <w:pPr>
        <w:jc w:val="both"/>
      </w:pPr>
    </w:p>
    <w:p w14:paraId="680BD815" w14:textId="77777777" w:rsidR="00F81027" w:rsidRDefault="00F81027" w:rsidP="00281C82">
      <w:pPr>
        <w:jc w:val="both"/>
      </w:pPr>
    </w:p>
    <w:p w14:paraId="6B6F9B84" w14:textId="77777777" w:rsidR="00F81027" w:rsidRDefault="00F81027" w:rsidP="00281C82">
      <w:pPr>
        <w:jc w:val="both"/>
      </w:pPr>
    </w:p>
    <w:p w14:paraId="37B2B72D" w14:textId="77777777" w:rsidR="00F81027" w:rsidRDefault="00F81027" w:rsidP="00281C82">
      <w:pPr>
        <w:jc w:val="both"/>
      </w:pPr>
    </w:p>
    <w:p w14:paraId="0F7C869F" w14:textId="77777777" w:rsidR="00F81027" w:rsidRDefault="00F81027" w:rsidP="00281C82">
      <w:pPr>
        <w:jc w:val="both"/>
      </w:pPr>
    </w:p>
    <w:p w14:paraId="75999102" w14:textId="77777777" w:rsidR="00F81027" w:rsidRDefault="00F81027" w:rsidP="00281C82">
      <w:pPr>
        <w:jc w:val="both"/>
      </w:pPr>
    </w:p>
    <w:p w14:paraId="4DD00711" w14:textId="2B388283" w:rsidR="00F81027" w:rsidRDefault="00F81027" w:rsidP="00281C82">
      <w:pPr>
        <w:jc w:val="both"/>
      </w:pPr>
    </w:p>
    <w:p w14:paraId="31F3B6DB" w14:textId="7157A580" w:rsidR="00E94288" w:rsidRDefault="005120DA" w:rsidP="005120DA">
      <w:pPr>
        <w:jc w:val="both"/>
      </w:pPr>
      <w:r>
        <w:t>hlediska  snižování mezery produktivity práce v čase se ukázalo, že za sledované období  průmyslová odvětví s vysokou technologickou intensitou v zemích V4 se podařilo více snížit mezeru produktu (-10,4) než u odvětví s nízkou technologickou intensitou (-8,25).</w:t>
      </w:r>
    </w:p>
    <w:p w14:paraId="2D6C122A" w14:textId="2601AA9A" w:rsidR="00E94288" w:rsidRDefault="00E94288" w:rsidP="00281C82">
      <w:pPr>
        <w:jc w:val="both"/>
      </w:pPr>
    </w:p>
    <w:p w14:paraId="28FAAB84" w14:textId="3392AB10" w:rsidR="00E94288" w:rsidRDefault="00E94288" w:rsidP="00281C82">
      <w:pPr>
        <w:jc w:val="both"/>
      </w:pPr>
    </w:p>
    <w:p w14:paraId="1CB962ED" w14:textId="0F14D6F9" w:rsidR="00E94288" w:rsidRDefault="00E94288" w:rsidP="00281C82">
      <w:pPr>
        <w:jc w:val="both"/>
      </w:pPr>
    </w:p>
    <w:p w14:paraId="2D87BCC4" w14:textId="4B61686B" w:rsidR="00E94288" w:rsidRDefault="00E94288" w:rsidP="00281C82">
      <w:pPr>
        <w:jc w:val="both"/>
      </w:pPr>
    </w:p>
    <w:p w14:paraId="72EFBA11" w14:textId="71C21F46" w:rsidR="00E94288" w:rsidRDefault="00E94288" w:rsidP="00281C82">
      <w:pPr>
        <w:jc w:val="both"/>
      </w:pPr>
    </w:p>
    <w:p w14:paraId="3F36BF6F" w14:textId="325ADAAB" w:rsidR="00E94288" w:rsidRDefault="00E94288" w:rsidP="00281C82">
      <w:pPr>
        <w:jc w:val="both"/>
      </w:pPr>
    </w:p>
    <w:p w14:paraId="6283A7B0" w14:textId="6FC4F568" w:rsidR="00E94288" w:rsidRDefault="00E94288" w:rsidP="00281C82">
      <w:pPr>
        <w:jc w:val="both"/>
      </w:pPr>
    </w:p>
    <w:p w14:paraId="72079B40" w14:textId="28DBEBD9" w:rsidR="00E94288" w:rsidRDefault="00E94288" w:rsidP="00281C82">
      <w:pPr>
        <w:jc w:val="both"/>
      </w:pPr>
    </w:p>
    <w:p w14:paraId="17F3B894" w14:textId="7BFCC9F2" w:rsidR="00E94288" w:rsidRDefault="00E94288" w:rsidP="00281C82">
      <w:pPr>
        <w:jc w:val="both"/>
      </w:pPr>
    </w:p>
    <w:p w14:paraId="2BDC545B" w14:textId="77777777" w:rsidR="00E94288" w:rsidRDefault="00E94288" w:rsidP="00281C82">
      <w:pPr>
        <w:jc w:val="both"/>
      </w:pPr>
    </w:p>
    <w:p w14:paraId="1E83A10D" w14:textId="77777777" w:rsidR="00F81027" w:rsidRDefault="00F81027" w:rsidP="00281C82">
      <w:pPr>
        <w:jc w:val="both"/>
      </w:pPr>
    </w:p>
    <w:p w14:paraId="3997EA00" w14:textId="40ABEBD8" w:rsidR="00281C82" w:rsidRPr="008A1CA0" w:rsidRDefault="00281C82" w:rsidP="00281C82">
      <w:pPr>
        <w:jc w:val="both"/>
      </w:pPr>
      <w:r>
        <w:lastRenderedPageBreak/>
        <w:t xml:space="preserve">Zpracovatelský průmysl </w:t>
      </w:r>
      <w:r w:rsidRPr="008A1CA0">
        <w:t>zahrnuje mechanickou, fyzikální nebo chemickou přeměnu materiálů nebo komponentů na nové produkty (zboží. Průmysl se skládá z 24 oddílů. Uvedená práce bude zaměřena především na oddíl 28  - Výroba strojů a zařízení.</w:t>
      </w:r>
      <w:r w:rsidRPr="00387922">
        <w:t xml:space="preserve"> </w:t>
      </w:r>
      <w:r w:rsidRPr="008A1CA0">
        <w:t>Tento oddíl zahrnuje výrobu strojů a zařízení, které mechanicky nebo tepelně působí na materiály nebo na materiálech provádějí výrobní procesy  (CZSO NACE).</w:t>
      </w:r>
    </w:p>
    <w:p w14:paraId="13F8E73B" w14:textId="77777777" w:rsidR="00281C82" w:rsidRDefault="00281C82" w:rsidP="00281C82">
      <w:pPr>
        <w:jc w:val="both"/>
      </w:pPr>
      <w:r w:rsidRPr="008A1CA0">
        <w:t xml:space="preserve">Význam i toto oddílu průmyslu se v rámci jednotlivých ekonomik liší s ohledem na specializaci. Následující graf nám zobrazuje podíl </w:t>
      </w:r>
    </w:p>
    <w:p w14:paraId="4ECB851F" w14:textId="77777777" w:rsidR="00281C82" w:rsidRDefault="00281C82" w:rsidP="00281C82"/>
    <w:p w14:paraId="70BEC310" w14:textId="77777777" w:rsidR="00281C82" w:rsidRDefault="00281C82" w:rsidP="00281C82">
      <w:r>
        <w:t xml:space="preserve">Graf č. X </w:t>
      </w:r>
      <w:r w:rsidRPr="000063D8">
        <w:t xml:space="preserve">Průměrný podíl odvětví zpracovateského průmyslu na </w:t>
      </w:r>
      <w:r>
        <w:t>hrubé přidanné hodnotě</w:t>
      </w:r>
      <w:r w:rsidRPr="000063D8">
        <w:t xml:space="preserve"> ve státech EU</w:t>
      </w:r>
    </w:p>
    <w:p w14:paraId="614E1D9E" w14:textId="77777777" w:rsidR="00281C82" w:rsidRDefault="00281C82" w:rsidP="00281C82">
      <w:pPr>
        <w:rPr>
          <w:rFonts w:ascii="Courier New" w:hAnsi="Courier New" w:cs="Courier New"/>
          <w:color w:val="182026"/>
          <w:sz w:val="20"/>
          <w:szCs w:val="20"/>
          <w:shd w:val="clear" w:color="auto" w:fill="FFFFFF"/>
        </w:rPr>
      </w:pPr>
    </w:p>
    <w:tbl>
      <w:tblPr>
        <w:tblpPr w:leftFromText="180" w:rightFromText="180" w:vertAnchor="text" w:horzAnchor="margin" w:tblpY="155"/>
        <w:tblW w:w="9062" w:type="dxa"/>
        <w:tblLook w:val="04A0" w:firstRow="1" w:lastRow="0" w:firstColumn="1" w:lastColumn="0" w:noHBand="0" w:noVBand="1"/>
      </w:tblPr>
      <w:tblGrid>
        <w:gridCol w:w="1398"/>
        <w:gridCol w:w="857"/>
        <w:gridCol w:w="999"/>
        <w:gridCol w:w="852"/>
        <w:gridCol w:w="950"/>
        <w:gridCol w:w="1176"/>
        <w:gridCol w:w="993"/>
        <w:gridCol w:w="850"/>
        <w:gridCol w:w="987"/>
      </w:tblGrid>
      <w:tr w:rsidR="00281C82" w:rsidRPr="00FC1190" w14:paraId="35003B5B" w14:textId="77777777" w:rsidTr="00BB5054">
        <w:trPr>
          <w:trHeight w:val="261"/>
        </w:trPr>
        <w:tc>
          <w:tcPr>
            <w:tcW w:w="13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2A51"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 xml:space="preserve">Země </w:t>
            </w:r>
          </w:p>
        </w:tc>
        <w:tc>
          <w:tcPr>
            <w:tcW w:w="365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0B18D4"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podíl na GVA v %</w:t>
            </w:r>
          </w:p>
        </w:tc>
        <w:tc>
          <w:tcPr>
            <w:tcW w:w="400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C447B7"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Podíl na zaměstnanosti v %</w:t>
            </w:r>
          </w:p>
        </w:tc>
      </w:tr>
      <w:tr w:rsidR="00281C82" w:rsidRPr="00FC1190" w14:paraId="5B7EFE91" w14:textId="77777777" w:rsidTr="00BB5054">
        <w:trPr>
          <w:trHeight w:val="261"/>
        </w:trPr>
        <w:tc>
          <w:tcPr>
            <w:tcW w:w="1398" w:type="dxa"/>
            <w:vMerge/>
            <w:tcBorders>
              <w:top w:val="single" w:sz="4" w:space="0" w:color="auto"/>
              <w:left w:val="single" w:sz="4" w:space="0" w:color="auto"/>
              <w:bottom w:val="single" w:sz="4" w:space="0" w:color="auto"/>
              <w:right w:val="single" w:sz="4" w:space="0" w:color="auto"/>
            </w:tcBorders>
            <w:vAlign w:val="center"/>
            <w:hideMark/>
          </w:tcPr>
          <w:p w14:paraId="64F1DFE8" w14:textId="77777777" w:rsidR="00281C82" w:rsidRPr="00FC1190" w:rsidRDefault="00281C82" w:rsidP="00BB5054">
            <w:pPr>
              <w:spacing w:after="0" w:line="240" w:lineRule="auto"/>
              <w:rPr>
                <w:rFonts w:ascii="Calibri" w:eastAsia="Times New Roman" w:hAnsi="Calibri" w:cs="Calibri"/>
                <w:color w:val="000000"/>
                <w:lang w:val="en-GB" w:eastAsia="en-GB"/>
              </w:rPr>
            </w:pPr>
          </w:p>
        </w:tc>
        <w:tc>
          <w:tcPr>
            <w:tcW w:w="857" w:type="dxa"/>
            <w:tcBorders>
              <w:top w:val="nil"/>
              <w:left w:val="nil"/>
              <w:bottom w:val="single" w:sz="4" w:space="0" w:color="auto"/>
              <w:right w:val="single" w:sz="4" w:space="0" w:color="auto"/>
            </w:tcBorders>
            <w:shd w:val="clear" w:color="auto" w:fill="auto"/>
            <w:noWrap/>
            <w:vAlign w:val="bottom"/>
            <w:hideMark/>
          </w:tcPr>
          <w:p w14:paraId="2E27BCEC"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2004</w:t>
            </w:r>
          </w:p>
        </w:tc>
        <w:tc>
          <w:tcPr>
            <w:tcW w:w="999" w:type="dxa"/>
            <w:tcBorders>
              <w:top w:val="nil"/>
              <w:left w:val="nil"/>
              <w:bottom w:val="single" w:sz="4" w:space="0" w:color="auto"/>
              <w:right w:val="single" w:sz="4" w:space="0" w:color="auto"/>
            </w:tcBorders>
            <w:shd w:val="clear" w:color="auto" w:fill="auto"/>
            <w:noWrap/>
            <w:vAlign w:val="bottom"/>
            <w:hideMark/>
          </w:tcPr>
          <w:p w14:paraId="458763F4"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2009</w:t>
            </w:r>
          </w:p>
        </w:tc>
        <w:tc>
          <w:tcPr>
            <w:tcW w:w="852" w:type="dxa"/>
            <w:tcBorders>
              <w:top w:val="nil"/>
              <w:left w:val="nil"/>
              <w:bottom w:val="single" w:sz="4" w:space="0" w:color="auto"/>
              <w:right w:val="single" w:sz="4" w:space="0" w:color="auto"/>
            </w:tcBorders>
            <w:shd w:val="clear" w:color="auto" w:fill="auto"/>
            <w:noWrap/>
            <w:vAlign w:val="bottom"/>
            <w:hideMark/>
          </w:tcPr>
          <w:p w14:paraId="761266A6"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2014</w:t>
            </w:r>
          </w:p>
        </w:tc>
        <w:tc>
          <w:tcPr>
            <w:tcW w:w="950" w:type="dxa"/>
            <w:tcBorders>
              <w:top w:val="nil"/>
              <w:left w:val="nil"/>
              <w:bottom w:val="single" w:sz="4" w:space="0" w:color="auto"/>
              <w:right w:val="single" w:sz="4" w:space="0" w:color="auto"/>
            </w:tcBorders>
            <w:shd w:val="clear" w:color="auto" w:fill="auto"/>
            <w:noWrap/>
            <w:vAlign w:val="bottom"/>
            <w:hideMark/>
          </w:tcPr>
          <w:p w14:paraId="3AF8D46F"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2019</w:t>
            </w:r>
          </w:p>
        </w:tc>
        <w:tc>
          <w:tcPr>
            <w:tcW w:w="1176" w:type="dxa"/>
            <w:tcBorders>
              <w:top w:val="nil"/>
              <w:left w:val="nil"/>
              <w:bottom w:val="single" w:sz="4" w:space="0" w:color="auto"/>
              <w:right w:val="single" w:sz="4" w:space="0" w:color="auto"/>
            </w:tcBorders>
            <w:shd w:val="clear" w:color="auto" w:fill="auto"/>
            <w:noWrap/>
            <w:vAlign w:val="bottom"/>
            <w:hideMark/>
          </w:tcPr>
          <w:p w14:paraId="76FA6FFA"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2004</w:t>
            </w:r>
          </w:p>
        </w:tc>
        <w:tc>
          <w:tcPr>
            <w:tcW w:w="993" w:type="dxa"/>
            <w:tcBorders>
              <w:top w:val="nil"/>
              <w:left w:val="nil"/>
              <w:bottom w:val="single" w:sz="4" w:space="0" w:color="auto"/>
              <w:right w:val="single" w:sz="4" w:space="0" w:color="auto"/>
            </w:tcBorders>
            <w:shd w:val="clear" w:color="auto" w:fill="auto"/>
            <w:noWrap/>
            <w:vAlign w:val="bottom"/>
            <w:hideMark/>
          </w:tcPr>
          <w:p w14:paraId="00A6B8DE"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2009</w:t>
            </w:r>
          </w:p>
        </w:tc>
        <w:tc>
          <w:tcPr>
            <w:tcW w:w="850" w:type="dxa"/>
            <w:tcBorders>
              <w:top w:val="nil"/>
              <w:left w:val="nil"/>
              <w:bottom w:val="single" w:sz="4" w:space="0" w:color="auto"/>
              <w:right w:val="single" w:sz="4" w:space="0" w:color="auto"/>
            </w:tcBorders>
            <w:shd w:val="clear" w:color="auto" w:fill="auto"/>
            <w:noWrap/>
            <w:vAlign w:val="bottom"/>
            <w:hideMark/>
          </w:tcPr>
          <w:p w14:paraId="170ED79F"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2014</w:t>
            </w:r>
          </w:p>
        </w:tc>
        <w:tc>
          <w:tcPr>
            <w:tcW w:w="987" w:type="dxa"/>
            <w:tcBorders>
              <w:top w:val="nil"/>
              <w:left w:val="nil"/>
              <w:bottom w:val="single" w:sz="4" w:space="0" w:color="auto"/>
              <w:right w:val="single" w:sz="4" w:space="0" w:color="auto"/>
            </w:tcBorders>
            <w:shd w:val="clear" w:color="auto" w:fill="auto"/>
            <w:noWrap/>
            <w:vAlign w:val="bottom"/>
            <w:hideMark/>
          </w:tcPr>
          <w:p w14:paraId="2F72A05E"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2019</w:t>
            </w:r>
          </w:p>
        </w:tc>
      </w:tr>
      <w:tr w:rsidR="00281C82" w:rsidRPr="00FC1190" w14:paraId="2B08C93E"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31F8DCA7"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Česko</w:t>
            </w:r>
          </w:p>
        </w:tc>
        <w:tc>
          <w:tcPr>
            <w:tcW w:w="857" w:type="dxa"/>
            <w:tcBorders>
              <w:top w:val="nil"/>
              <w:left w:val="nil"/>
              <w:bottom w:val="single" w:sz="4" w:space="0" w:color="auto"/>
              <w:right w:val="single" w:sz="4" w:space="0" w:color="auto"/>
            </w:tcBorders>
            <w:shd w:val="clear" w:color="auto" w:fill="auto"/>
            <w:noWrap/>
            <w:vAlign w:val="bottom"/>
            <w:hideMark/>
          </w:tcPr>
          <w:p w14:paraId="3335B7E7" w14:textId="77777777" w:rsidR="00281C82" w:rsidRDefault="00281C82" w:rsidP="00BB5054">
            <w:pPr>
              <w:jc w:val="right"/>
              <w:rPr>
                <w:rFonts w:ascii="Arial" w:hAnsi="Arial" w:cs="Arial"/>
                <w:sz w:val="20"/>
                <w:szCs w:val="20"/>
              </w:rPr>
            </w:pPr>
            <w:r>
              <w:rPr>
                <w:rFonts w:ascii="Arial" w:hAnsi="Arial" w:cs="Arial"/>
                <w:sz w:val="20"/>
                <w:szCs w:val="20"/>
              </w:rPr>
              <w:t>7.5</w:t>
            </w:r>
          </w:p>
        </w:tc>
        <w:tc>
          <w:tcPr>
            <w:tcW w:w="999" w:type="dxa"/>
            <w:tcBorders>
              <w:top w:val="nil"/>
              <w:left w:val="nil"/>
              <w:bottom w:val="single" w:sz="4" w:space="0" w:color="auto"/>
              <w:right w:val="single" w:sz="4" w:space="0" w:color="auto"/>
            </w:tcBorders>
            <w:shd w:val="clear" w:color="auto" w:fill="auto"/>
            <w:noWrap/>
            <w:vAlign w:val="bottom"/>
            <w:hideMark/>
          </w:tcPr>
          <w:p w14:paraId="2EDCEC77" w14:textId="77777777" w:rsidR="00281C82" w:rsidRDefault="00281C82" w:rsidP="00BB5054">
            <w:pPr>
              <w:jc w:val="right"/>
              <w:rPr>
                <w:rFonts w:ascii="Arial" w:hAnsi="Arial" w:cs="Arial"/>
                <w:sz w:val="20"/>
                <w:szCs w:val="20"/>
              </w:rPr>
            </w:pPr>
            <w:r>
              <w:rPr>
                <w:rFonts w:ascii="Arial" w:hAnsi="Arial" w:cs="Arial"/>
                <w:sz w:val="20"/>
                <w:szCs w:val="20"/>
              </w:rPr>
              <w:t>9.1</w:t>
            </w:r>
          </w:p>
        </w:tc>
        <w:tc>
          <w:tcPr>
            <w:tcW w:w="852" w:type="dxa"/>
            <w:tcBorders>
              <w:top w:val="nil"/>
              <w:left w:val="nil"/>
              <w:bottom w:val="single" w:sz="4" w:space="0" w:color="auto"/>
              <w:right w:val="single" w:sz="4" w:space="0" w:color="auto"/>
            </w:tcBorders>
            <w:shd w:val="clear" w:color="auto" w:fill="auto"/>
            <w:noWrap/>
            <w:vAlign w:val="bottom"/>
            <w:hideMark/>
          </w:tcPr>
          <w:p w14:paraId="6C685902" w14:textId="77777777" w:rsidR="00281C82" w:rsidRDefault="00281C82" w:rsidP="00BB5054">
            <w:pPr>
              <w:jc w:val="right"/>
              <w:rPr>
                <w:rFonts w:ascii="Arial" w:hAnsi="Arial" w:cs="Arial"/>
                <w:sz w:val="20"/>
                <w:szCs w:val="20"/>
              </w:rPr>
            </w:pPr>
            <w:r>
              <w:rPr>
                <w:rFonts w:ascii="Arial" w:hAnsi="Arial" w:cs="Arial"/>
                <w:sz w:val="20"/>
                <w:szCs w:val="20"/>
              </w:rPr>
              <w:t>10.1</w:t>
            </w:r>
          </w:p>
        </w:tc>
        <w:tc>
          <w:tcPr>
            <w:tcW w:w="950" w:type="dxa"/>
            <w:tcBorders>
              <w:top w:val="nil"/>
              <w:left w:val="nil"/>
              <w:bottom w:val="single" w:sz="4" w:space="0" w:color="auto"/>
              <w:right w:val="single" w:sz="4" w:space="0" w:color="auto"/>
            </w:tcBorders>
            <w:shd w:val="clear" w:color="auto" w:fill="auto"/>
            <w:noWrap/>
            <w:vAlign w:val="bottom"/>
            <w:hideMark/>
          </w:tcPr>
          <w:p w14:paraId="7A2BA260" w14:textId="77777777" w:rsidR="00281C82" w:rsidRDefault="00281C82" w:rsidP="00BB5054">
            <w:pPr>
              <w:jc w:val="right"/>
              <w:rPr>
                <w:rFonts w:ascii="Arial" w:hAnsi="Arial" w:cs="Arial"/>
                <w:sz w:val="20"/>
                <w:szCs w:val="20"/>
              </w:rPr>
            </w:pPr>
            <w:r>
              <w:rPr>
                <w:rFonts w:ascii="Arial" w:hAnsi="Arial" w:cs="Arial"/>
                <w:sz w:val="20"/>
                <w:szCs w:val="20"/>
              </w:rPr>
              <w:t>8.9</w:t>
            </w:r>
          </w:p>
        </w:tc>
        <w:tc>
          <w:tcPr>
            <w:tcW w:w="1176" w:type="dxa"/>
            <w:tcBorders>
              <w:top w:val="nil"/>
              <w:left w:val="nil"/>
              <w:bottom w:val="single" w:sz="4" w:space="0" w:color="auto"/>
              <w:right w:val="single" w:sz="4" w:space="0" w:color="auto"/>
            </w:tcBorders>
            <w:shd w:val="clear" w:color="auto" w:fill="auto"/>
            <w:noWrap/>
            <w:vAlign w:val="bottom"/>
            <w:hideMark/>
          </w:tcPr>
          <w:p w14:paraId="7701386E" w14:textId="77777777" w:rsidR="00281C82" w:rsidRDefault="00281C82" w:rsidP="00BB5054">
            <w:pPr>
              <w:jc w:val="right"/>
              <w:rPr>
                <w:rFonts w:ascii="Arial" w:hAnsi="Arial" w:cs="Arial"/>
                <w:sz w:val="20"/>
                <w:szCs w:val="20"/>
              </w:rPr>
            </w:pPr>
            <w:r>
              <w:rPr>
                <w:rFonts w:ascii="Arial" w:hAnsi="Arial" w:cs="Arial"/>
                <w:sz w:val="20"/>
                <w:szCs w:val="20"/>
              </w:rPr>
              <w:t>8.95</w:t>
            </w:r>
          </w:p>
        </w:tc>
        <w:tc>
          <w:tcPr>
            <w:tcW w:w="993" w:type="dxa"/>
            <w:tcBorders>
              <w:top w:val="nil"/>
              <w:left w:val="nil"/>
              <w:bottom w:val="single" w:sz="4" w:space="0" w:color="auto"/>
              <w:right w:val="single" w:sz="4" w:space="0" w:color="auto"/>
            </w:tcBorders>
            <w:shd w:val="clear" w:color="auto" w:fill="auto"/>
            <w:noWrap/>
            <w:vAlign w:val="bottom"/>
            <w:hideMark/>
          </w:tcPr>
          <w:p w14:paraId="04DEC209" w14:textId="77777777" w:rsidR="00281C82" w:rsidRDefault="00281C82" w:rsidP="00BB5054">
            <w:pPr>
              <w:jc w:val="right"/>
              <w:rPr>
                <w:rFonts w:ascii="Arial" w:hAnsi="Arial" w:cs="Arial"/>
                <w:sz w:val="20"/>
                <w:szCs w:val="20"/>
              </w:rPr>
            </w:pPr>
            <w:r>
              <w:rPr>
                <w:rFonts w:ascii="Arial" w:hAnsi="Arial" w:cs="Arial"/>
                <w:sz w:val="20"/>
                <w:szCs w:val="20"/>
              </w:rPr>
              <w:t>9.68</w:t>
            </w:r>
          </w:p>
        </w:tc>
        <w:tc>
          <w:tcPr>
            <w:tcW w:w="850" w:type="dxa"/>
            <w:tcBorders>
              <w:top w:val="nil"/>
              <w:left w:val="nil"/>
              <w:bottom w:val="single" w:sz="4" w:space="0" w:color="auto"/>
              <w:right w:val="single" w:sz="4" w:space="0" w:color="auto"/>
            </w:tcBorders>
            <w:shd w:val="clear" w:color="auto" w:fill="auto"/>
            <w:noWrap/>
            <w:vAlign w:val="bottom"/>
            <w:hideMark/>
          </w:tcPr>
          <w:p w14:paraId="70C6804C" w14:textId="77777777" w:rsidR="00281C82" w:rsidRDefault="00281C82" w:rsidP="00BB5054">
            <w:pPr>
              <w:jc w:val="right"/>
              <w:rPr>
                <w:rFonts w:ascii="Arial" w:hAnsi="Arial" w:cs="Arial"/>
                <w:sz w:val="20"/>
                <w:szCs w:val="20"/>
              </w:rPr>
            </w:pPr>
            <w:r>
              <w:rPr>
                <w:rFonts w:ascii="Arial" w:hAnsi="Arial" w:cs="Arial"/>
                <w:sz w:val="20"/>
                <w:szCs w:val="20"/>
              </w:rPr>
              <w:t>9.95</w:t>
            </w:r>
          </w:p>
        </w:tc>
        <w:tc>
          <w:tcPr>
            <w:tcW w:w="987" w:type="dxa"/>
            <w:tcBorders>
              <w:top w:val="nil"/>
              <w:left w:val="nil"/>
              <w:bottom w:val="single" w:sz="4" w:space="0" w:color="auto"/>
              <w:right w:val="single" w:sz="4" w:space="0" w:color="auto"/>
            </w:tcBorders>
            <w:shd w:val="clear" w:color="auto" w:fill="auto"/>
            <w:noWrap/>
            <w:vAlign w:val="bottom"/>
            <w:hideMark/>
          </w:tcPr>
          <w:p w14:paraId="0A34EA2F" w14:textId="77777777" w:rsidR="00281C82" w:rsidRDefault="00281C82" w:rsidP="00BB5054">
            <w:pPr>
              <w:jc w:val="right"/>
              <w:rPr>
                <w:rFonts w:ascii="Arial" w:hAnsi="Arial" w:cs="Arial"/>
                <w:sz w:val="20"/>
                <w:szCs w:val="20"/>
              </w:rPr>
            </w:pPr>
            <w:r>
              <w:rPr>
                <w:rFonts w:ascii="Arial" w:hAnsi="Arial" w:cs="Arial"/>
                <w:sz w:val="20"/>
                <w:szCs w:val="20"/>
              </w:rPr>
              <w:t>9.92</w:t>
            </w:r>
          </w:p>
        </w:tc>
      </w:tr>
      <w:tr w:rsidR="00281C82" w:rsidRPr="00FC1190" w14:paraId="33FF5054"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0B1D23E5"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Maďarsko</w:t>
            </w:r>
          </w:p>
        </w:tc>
        <w:tc>
          <w:tcPr>
            <w:tcW w:w="857" w:type="dxa"/>
            <w:tcBorders>
              <w:top w:val="nil"/>
              <w:left w:val="nil"/>
              <w:bottom w:val="single" w:sz="4" w:space="0" w:color="auto"/>
              <w:right w:val="single" w:sz="4" w:space="0" w:color="auto"/>
            </w:tcBorders>
            <w:shd w:val="clear" w:color="auto" w:fill="auto"/>
            <w:noWrap/>
            <w:vAlign w:val="bottom"/>
            <w:hideMark/>
          </w:tcPr>
          <w:p w14:paraId="77F6CFE5" w14:textId="77777777" w:rsidR="00281C82" w:rsidRDefault="00281C82" w:rsidP="00BB5054">
            <w:pPr>
              <w:jc w:val="right"/>
              <w:rPr>
                <w:rFonts w:ascii="Arial" w:hAnsi="Arial" w:cs="Arial"/>
                <w:sz w:val="20"/>
                <w:szCs w:val="20"/>
              </w:rPr>
            </w:pPr>
            <w:r>
              <w:rPr>
                <w:rFonts w:ascii="Arial" w:hAnsi="Arial" w:cs="Arial"/>
                <w:sz w:val="20"/>
                <w:szCs w:val="20"/>
              </w:rPr>
              <w:t>4.2</w:t>
            </w:r>
          </w:p>
        </w:tc>
        <w:tc>
          <w:tcPr>
            <w:tcW w:w="999" w:type="dxa"/>
            <w:tcBorders>
              <w:top w:val="nil"/>
              <w:left w:val="nil"/>
              <w:bottom w:val="single" w:sz="4" w:space="0" w:color="auto"/>
              <w:right w:val="single" w:sz="4" w:space="0" w:color="auto"/>
            </w:tcBorders>
            <w:shd w:val="clear" w:color="auto" w:fill="auto"/>
            <w:noWrap/>
            <w:vAlign w:val="bottom"/>
            <w:hideMark/>
          </w:tcPr>
          <w:p w14:paraId="52927DE0" w14:textId="77777777" w:rsidR="00281C82" w:rsidRDefault="00281C82" w:rsidP="00BB5054">
            <w:pPr>
              <w:jc w:val="right"/>
              <w:rPr>
                <w:rFonts w:ascii="Arial" w:hAnsi="Arial" w:cs="Arial"/>
                <w:sz w:val="20"/>
                <w:szCs w:val="20"/>
              </w:rPr>
            </w:pPr>
            <w:r>
              <w:rPr>
                <w:rFonts w:ascii="Arial" w:hAnsi="Arial" w:cs="Arial"/>
                <w:sz w:val="20"/>
                <w:szCs w:val="20"/>
              </w:rPr>
              <w:t>12.3</w:t>
            </w:r>
          </w:p>
        </w:tc>
        <w:tc>
          <w:tcPr>
            <w:tcW w:w="852" w:type="dxa"/>
            <w:tcBorders>
              <w:top w:val="nil"/>
              <w:left w:val="nil"/>
              <w:bottom w:val="single" w:sz="4" w:space="0" w:color="auto"/>
              <w:right w:val="single" w:sz="4" w:space="0" w:color="auto"/>
            </w:tcBorders>
            <w:shd w:val="clear" w:color="auto" w:fill="auto"/>
            <w:noWrap/>
            <w:vAlign w:val="bottom"/>
            <w:hideMark/>
          </w:tcPr>
          <w:p w14:paraId="58F3D39D" w14:textId="77777777" w:rsidR="00281C82" w:rsidRDefault="00281C82" w:rsidP="00BB5054">
            <w:pPr>
              <w:jc w:val="right"/>
              <w:rPr>
                <w:rFonts w:ascii="Arial" w:hAnsi="Arial" w:cs="Arial"/>
                <w:sz w:val="20"/>
                <w:szCs w:val="20"/>
              </w:rPr>
            </w:pPr>
            <w:r>
              <w:rPr>
                <w:rFonts w:ascii="Arial" w:hAnsi="Arial" w:cs="Arial"/>
                <w:sz w:val="20"/>
                <w:szCs w:val="20"/>
              </w:rPr>
              <w:t>12.6</w:t>
            </w:r>
          </w:p>
        </w:tc>
        <w:tc>
          <w:tcPr>
            <w:tcW w:w="950" w:type="dxa"/>
            <w:tcBorders>
              <w:top w:val="nil"/>
              <w:left w:val="nil"/>
              <w:bottom w:val="single" w:sz="4" w:space="0" w:color="auto"/>
              <w:right w:val="single" w:sz="4" w:space="0" w:color="auto"/>
            </w:tcBorders>
            <w:shd w:val="clear" w:color="auto" w:fill="auto"/>
            <w:noWrap/>
            <w:vAlign w:val="bottom"/>
            <w:hideMark/>
          </w:tcPr>
          <w:p w14:paraId="1D0A14B0" w14:textId="77777777" w:rsidR="00281C82" w:rsidRDefault="00281C82" w:rsidP="00BB5054">
            <w:pPr>
              <w:jc w:val="right"/>
              <w:rPr>
                <w:rFonts w:ascii="Arial" w:hAnsi="Arial" w:cs="Arial"/>
                <w:sz w:val="20"/>
                <w:szCs w:val="20"/>
              </w:rPr>
            </w:pPr>
            <w:r>
              <w:rPr>
                <w:rFonts w:ascii="Arial" w:hAnsi="Arial" w:cs="Arial"/>
                <w:sz w:val="20"/>
                <w:szCs w:val="20"/>
              </w:rPr>
              <w:t>6.9</w:t>
            </w:r>
          </w:p>
        </w:tc>
        <w:tc>
          <w:tcPr>
            <w:tcW w:w="1176" w:type="dxa"/>
            <w:tcBorders>
              <w:top w:val="nil"/>
              <w:left w:val="nil"/>
              <w:bottom w:val="single" w:sz="4" w:space="0" w:color="auto"/>
              <w:right w:val="single" w:sz="4" w:space="0" w:color="auto"/>
            </w:tcBorders>
            <w:shd w:val="clear" w:color="auto" w:fill="auto"/>
            <w:noWrap/>
            <w:vAlign w:val="bottom"/>
            <w:hideMark/>
          </w:tcPr>
          <w:p w14:paraId="26C877EF" w14:textId="77777777" w:rsidR="00281C82" w:rsidRDefault="00281C82" w:rsidP="00BB5054">
            <w:pPr>
              <w:jc w:val="right"/>
              <w:rPr>
                <w:rFonts w:ascii="Arial" w:hAnsi="Arial" w:cs="Arial"/>
                <w:sz w:val="20"/>
                <w:szCs w:val="20"/>
              </w:rPr>
            </w:pPr>
            <w:r>
              <w:rPr>
                <w:rFonts w:ascii="Arial" w:hAnsi="Arial" w:cs="Arial"/>
                <w:sz w:val="20"/>
                <w:szCs w:val="20"/>
              </w:rPr>
              <w:t>4.91</w:t>
            </w:r>
          </w:p>
        </w:tc>
        <w:tc>
          <w:tcPr>
            <w:tcW w:w="993" w:type="dxa"/>
            <w:tcBorders>
              <w:top w:val="nil"/>
              <w:left w:val="nil"/>
              <w:bottom w:val="single" w:sz="4" w:space="0" w:color="auto"/>
              <w:right w:val="single" w:sz="4" w:space="0" w:color="auto"/>
            </w:tcBorders>
            <w:shd w:val="clear" w:color="auto" w:fill="auto"/>
            <w:noWrap/>
            <w:vAlign w:val="bottom"/>
            <w:hideMark/>
          </w:tcPr>
          <w:p w14:paraId="73ADD70D" w14:textId="77777777" w:rsidR="00281C82" w:rsidRDefault="00281C82" w:rsidP="00BB5054">
            <w:pPr>
              <w:jc w:val="right"/>
              <w:rPr>
                <w:rFonts w:ascii="Arial" w:hAnsi="Arial" w:cs="Arial"/>
                <w:sz w:val="20"/>
                <w:szCs w:val="20"/>
              </w:rPr>
            </w:pPr>
            <w:r>
              <w:rPr>
                <w:rFonts w:ascii="Arial" w:hAnsi="Arial" w:cs="Arial"/>
                <w:sz w:val="20"/>
                <w:szCs w:val="20"/>
              </w:rPr>
              <w:t>6.42</w:t>
            </w:r>
          </w:p>
        </w:tc>
        <w:tc>
          <w:tcPr>
            <w:tcW w:w="850" w:type="dxa"/>
            <w:tcBorders>
              <w:top w:val="nil"/>
              <w:left w:val="nil"/>
              <w:bottom w:val="single" w:sz="4" w:space="0" w:color="auto"/>
              <w:right w:val="single" w:sz="4" w:space="0" w:color="auto"/>
            </w:tcBorders>
            <w:shd w:val="clear" w:color="auto" w:fill="auto"/>
            <w:noWrap/>
            <w:vAlign w:val="bottom"/>
            <w:hideMark/>
          </w:tcPr>
          <w:p w14:paraId="6F1FF5A5" w14:textId="77777777" w:rsidR="00281C82" w:rsidRDefault="00281C82" w:rsidP="00BB5054">
            <w:pPr>
              <w:jc w:val="right"/>
              <w:rPr>
                <w:rFonts w:ascii="Arial" w:hAnsi="Arial" w:cs="Arial"/>
                <w:sz w:val="20"/>
                <w:szCs w:val="20"/>
              </w:rPr>
            </w:pPr>
            <w:r>
              <w:rPr>
                <w:rFonts w:ascii="Arial" w:hAnsi="Arial" w:cs="Arial"/>
                <w:sz w:val="20"/>
                <w:szCs w:val="20"/>
              </w:rPr>
              <w:t>7.40</w:t>
            </w:r>
          </w:p>
        </w:tc>
        <w:tc>
          <w:tcPr>
            <w:tcW w:w="987" w:type="dxa"/>
            <w:tcBorders>
              <w:top w:val="nil"/>
              <w:left w:val="nil"/>
              <w:bottom w:val="single" w:sz="4" w:space="0" w:color="auto"/>
              <w:right w:val="single" w:sz="4" w:space="0" w:color="auto"/>
            </w:tcBorders>
            <w:shd w:val="clear" w:color="auto" w:fill="auto"/>
            <w:noWrap/>
            <w:vAlign w:val="bottom"/>
            <w:hideMark/>
          </w:tcPr>
          <w:p w14:paraId="381FB8BF" w14:textId="77777777" w:rsidR="00281C82" w:rsidRDefault="00281C82" w:rsidP="00BB5054">
            <w:pPr>
              <w:jc w:val="right"/>
              <w:rPr>
                <w:rFonts w:ascii="Arial" w:hAnsi="Arial" w:cs="Arial"/>
                <w:sz w:val="20"/>
                <w:szCs w:val="20"/>
              </w:rPr>
            </w:pPr>
            <w:r>
              <w:rPr>
                <w:rFonts w:ascii="Arial" w:hAnsi="Arial" w:cs="Arial"/>
                <w:sz w:val="20"/>
                <w:szCs w:val="20"/>
              </w:rPr>
              <w:t>7.08</w:t>
            </w:r>
          </w:p>
        </w:tc>
      </w:tr>
      <w:tr w:rsidR="00281C82" w:rsidRPr="00FC1190" w14:paraId="647D7D8D"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64B9714B"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Polsko</w:t>
            </w:r>
          </w:p>
        </w:tc>
        <w:tc>
          <w:tcPr>
            <w:tcW w:w="857" w:type="dxa"/>
            <w:tcBorders>
              <w:top w:val="nil"/>
              <w:left w:val="nil"/>
              <w:bottom w:val="single" w:sz="4" w:space="0" w:color="auto"/>
              <w:right w:val="single" w:sz="4" w:space="0" w:color="auto"/>
            </w:tcBorders>
            <w:shd w:val="clear" w:color="auto" w:fill="auto"/>
            <w:noWrap/>
            <w:vAlign w:val="bottom"/>
            <w:hideMark/>
          </w:tcPr>
          <w:p w14:paraId="393C2EBA" w14:textId="77777777" w:rsidR="00281C82" w:rsidRDefault="00281C82" w:rsidP="00BB5054">
            <w:pPr>
              <w:jc w:val="right"/>
              <w:rPr>
                <w:rFonts w:ascii="Arial" w:hAnsi="Arial" w:cs="Arial"/>
                <w:sz w:val="20"/>
                <w:szCs w:val="20"/>
              </w:rPr>
            </w:pPr>
            <w:r>
              <w:rPr>
                <w:rFonts w:ascii="Arial" w:hAnsi="Arial" w:cs="Arial"/>
                <w:sz w:val="20"/>
                <w:szCs w:val="20"/>
              </w:rPr>
              <w:t>5.0</w:t>
            </w:r>
          </w:p>
        </w:tc>
        <w:tc>
          <w:tcPr>
            <w:tcW w:w="999" w:type="dxa"/>
            <w:tcBorders>
              <w:top w:val="nil"/>
              <w:left w:val="nil"/>
              <w:bottom w:val="single" w:sz="4" w:space="0" w:color="auto"/>
              <w:right w:val="single" w:sz="4" w:space="0" w:color="auto"/>
            </w:tcBorders>
            <w:shd w:val="clear" w:color="auto" w:fill="auto"/>
            <w:noWrap/>
            <w:vAlign w:val="bottom"/>
            <w:hideMark/>
          </w:tcPr>
          <w:p w14:paraId="54D95F4C" w14:textId="77777777" w:rsidR="00281C82" w:rsidRDefault="00281C82" w:rsidP="00BB5054">
            <w:pPr>
              <w:jc w:val="right"/>
              <w:rPr>
                <w:rFonts w:ascii="Arial" w:hAnsi="Arial" w:cs="Arial"/>
                <w:sz w:val="20"/>
                <w:szCs w:val="20"/>
              </w:rPr>
            </w:pPr>
            <w:r>
              <w:rPr>
                <w:rFonts w:ascii="Arial" w:hAnsi="Arial" w:cs="Arial"/>
                <w:sz w:val="20"/>
                <w:szCs w:val="20"/>
              </w:rPr>
              <w:t>6.8</w:t>
            </w:r>
          </w:p>
        </w:tc>
        <w:tc>
          <w:tcPr>
            <w:tcW w:w="852" w:type="dxa"/>
            <w:tcBorders>
              <w:top w:val="nil"/>
              <w:left w:val="nil"/>
              <w:bottom w:val="single" w:sz="4" w:space="0" w:color="auto"/>
              <w:right w:val="single" w:sz="4" w:space="0" w:color="auto"/>
            </w:tcBorders>
            <w:shd w:val="clear" w:color="auto" w:fill="auto"/>
            <w:noWrap/>
            <w:vAlign w:val="bottom"/>
            <w:hideMark/>
          </w:tcPr>
          <w:p w14:paraId="3229DC9F" w14:textId="77777777" w:rsidR="00281C82" w:rsidRDefault="00281C82" w:rsidP="00BB5054">
            <w:pPr>
              <w:jc w:val="right"/>
              <w:rPr>
                <w:rFonts w:ascii="Arial" w:hAnsi="Arial" w:cs="Arial"/>
                <w:sz w:val="20"/>
                <w:szCs w:val="20"/>
              </w:rPr>
            </w:pPr>
            <w:r>
              <w:rPr>
                <w:rFonts w:ascii="Arial" w:hAnsi="Arial" w:cs="Arial"/>
                <w:sz w:val="20"/>
                <w:szCs w:val="20"/>
              </w:rPr>
              <w:t>5.0</w:t>
            </w:r>
          </w:p>
        </w:tc>
        <w:tc>
          <w:tcPr>
            <w:tcW w:w="950" w:type="dxa"/>
            <w:tcBorders>
              <w:top w:val="nil"/>
              <w:left w:val="nil"/>
              <w:bottom w:val="single" w:sz="4" w:space="0" w:color="auto"/>
              <w:right w:val="single" w:sz="4" w:space="0" w:color="auto"/>
            </w:tcBorders>
            <w:shd w:val="clear" w:color="auto" w:fill="auto"/>
            <w:noWrap/>
            <w:vAlign w:val="bottom"/>
            <w:hideMark/>
          </w:tcPr>
          <w:p w14:paraId="0B019CD4" w14:textId="77777777" w:rsidR="00281C82" w:rsidRDefault="00281C82" w:rsidP="00BB5054">
            <w:pPr>
              <w:jc w:val="right"/>
              <w:rPr>
                <w:rFonts w:ascii="Arial" w:hAnsi="Arial" w:cs="Arial"/>
                <w:sz w:val="20"/>
                <w:szCs w:val="20"/>
              </w:rPr>
            </w:pPr>
            <w:r>
              <w:rPr>
                <w:rFonts w:ascii="Arial" w:hAnsi="Arial" w:cs="Arial"/>
                <w:sz w:val="20"/>
                <w:szCs w:val="20"/>
              </w:rPr>
              <w:t>5.6</w:t>
            </w:r>
          </w:p>
        </w:tc>
        <w:tc>
          <w:tcPr>
            <w:tcW w:w="1176" w:type="dxa"/>
            <w:tcBorders>
              <w:top w:val="nil"/>
              <w:left w:val="nil"/>
              <w:bottom w:val="single" w:sz="4" w:space="0" w:color="auto"/>
              <w:right w:val="single" w:sz="4" w:space="0" w:color="auto"/>
            </w:tcBorders>
            <w:shd w:val="clear" w:color="auto" w:fill="auto"/>
            <w:noWrap/>
            <w:vAlign w:val="bottom"/>
            <w:hideMark/>
          </w:tcPr>
          <w:p w14:paraId="57EA150E" w14:textId="77777777" w:rsidR="00281C82" w:rsidRDefault="00281C82" w:rsidP="00BB5054">
            <w:pPr>
              <w:jc w:val="right"/>
              <w:rPr>
                <w:rFonts w:ascii="Arial" w:hAnsi="Arial" w:cs="Arial"/>
                <w:sz w:val="20"/>
                <w:szCs w:val="20"/>
              </w:rPr>
            </w:pPr>
            <w:r>
              <w:rPr>
                <w:rFonts w:ascii="Arial" w:hAnsi="Arial" w:cs="Arial"/>
                <w:sz w:val="20"/>
                <w:szCs w:val="20"/>
              </w:rPr>
              <w:t>5.37</w:t>
            </w:r>
          </w:p>
        </w:tc>
        <w:tc>
          <w:tcPr>
            <w:tcW w:w="993" w:type="dxa"/>
            <w:tcBorders>
              <w:top w:val="nil"/>
              <w:left w:val="nil"/>
              <w:bottom w:val="single" w:sz="4" w:space="0" w:color="auto"/>
              <w:right w:val="single" w:sz="4" w:space="0" w:color="auto"/>
            </w:tcBorders>
            <w:shd w:val="clear" w:color="auto" w:fill="auto"/>
            <w:noWrap/>
            <w:vAlign w:val="bottom"/>
            <w:hideMark/>
          </w:tcPr>
          <w:p w14:paraId="4A36A216" w14:textId="77777777" w:rsidR="00281C82" w:rsidRDefault="00281C82" w:rsidP="00BB5054">
            <w:pPr>
              <w:jc w:val="right"/>
              <w:rPr>
                <w:rFonts w:ascii="Arial" w:hAnsi="Arial" w:cs="Arial"/>
                <w:sz w:val="20"/>
                <w:szCs w:val="20"/>
              </w:rPr>
            </w:pPr>
            <w:r>
              <w:rPr>
                <w:rFonts w:ascii="Arial" w:hAnsi="Arial" w:cs="Arial"/>
                <w:sz w:val="20"/>
                <w:szCs w:val="20"/>
              </w:rPr>
              <w:t>4.31</w:t>
            </w:r>
          </w:p>
        </w:tc>
        <w:tc>
          <w:tcPr>
            <w:tcW w:w="850" w:type="dxa"/>
            <w:tcBorders>
              <w:top w:val="nil"/>
              <w:left w:val="nil"/>
              <w:bottom w:val="single" w:sz="4" w:space="0" w:color="auto"/>
              <w:right w:val="single" w:sz="4" w:space="0" w:color="auto"/>
            </w:tcBorders>
            <w:shd w:val="clear" w:color="auto" w:fill="auto"/>
            <w:noWrap/>
            <w:vAlign w:val="bottom"/>
            <w:hideMark/>
          </w:tcPr>
          <w:p w14:paraId="2CF50454" w14:textId="77777777" w:rsidR="00281C82" w:rsidRDefault="00281C82" w:rsidP="00BB5054">
            <w:pPr>
              <w:jc w:val="right"/>
              <w:rPr>
                <w:rFonts w:ascii="Arial" w:hAnsi="Arial" w:cs="Arial"/>
                <w:sz w:val="20"/>
                <w:szCs w:val="20"/>
              </w:rPr>
            </w:pPr>
            <w:r>
              <w:rPr>
                <w:rFonts w:ascii="Arial" w:hAnsi="Arial" w:cs="Arial"/>
                <w:sz w:val="20"/>
                <w:szCs w:val="20"/>
              </w:rPr>
              <w:t>4.61</w:t>
            </w:r>
          </w:p>
        </w:tc>
        <w:tc>
          <w:tcPr>
            <w:tcW w:w="987" w:type="dxa"/>
            <w:tcBorders>
              <w:top w:val="nil"/>
              <w:left w:val="nil"/>
              <w:bottom w:val="single" w:sz="4" w:space="0" w:color="auto"/>
              <w:right w:val="single" w:sz="4" w:space="0" w:color="auto"/>
            </w:tcBorders>
            <w:shd w:val="clear" w:color="auto" w:fill="auto"/>
            <w:noWrap/>
            <w:vAlign w:val="bottom"/>
            <w:hideMark/>
          </w:tcPr>
          <w:p w14:paraId="4EB3D84A" w14:textId="77777777" w:rsidR="00281C82" w:rsidRDefault="00281C82" w:rsidP="00BB5054">
            <w:pPr>
              <w:jc w:val="right"/>
              <w:rPr>
                <w:rFonts w:ascii="Arial" w:hAnsi="Arial" w:cs="Arial"/>
                <w:sz w:val="20"/>
                <w:szCs w:val="20"/>
              </w:rPr>
            </w:pPr>
            <w:r>
              <w:rPr>
                <w:rFonts w:ascii="Arial" w:hAnsi="Arial" w:cs="Arial"/>
                <w:sz w:val="20"/>
                <w:szCs w:val="20"/>
              </w:rPr>
              <w:t>5.71</w:t>
            </w:r>
          </w:p>
        </w:tc>
      </w:tr>
      <w:tr w:rsidR="00281C82" w:rsidRPr="00FC1190" w14:paraId="1D15816D"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3D466EED"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 xml:space="preserve">Slovensko </w:t>
            </w:r>
          </w:p>
        </w:tc>
        <w:tc>
          <w:tcPr>
            <w:tcW w:w="857" w:type="dxa"/>
            <w:tcBorders>
              <w:top w:val="nil"/>
              <w:left w:val="nil"/>
              <w:bottom w:val="single" w:sz="4" w:space="0" w:color="auto"/>
              <w:right w:val="single" w:sz="4" w:space="0" w:color="auto"/>
            </w:tcBorders>
            <w:shd w:val="clear" w:color="auto" w:fill="auto"/>
            <w:noWrap/>
            <w:vAlign w:val="bottom"/>
            <w:hideMark/>
          </w:tcPr>
          <w:p w14:paraId="521A58BB" w14:textId="77777777" w:rsidR="00281C82" w:rsidRDefault="00281C82" w:rsidP="00BB5054">
            <w:pPr>
              <w:jc w:val="right"/>
              <w:rPr>
                <w:rFonts w:ascii="Arial" w:hAnsi="Arial" w:cs="Arial"/>
                <w:sz w:val="20"/>
                <w:szCs w:val="20"/>
              </w:rPr>
            </w:pPr>
            <w:r>
              <w:rPr>
                <w:rFonts w:ascii="Arial" w:hAnsi="Arial" w:cs="Arial"/>
                <w:sz w:val="20"/>
                <w:szCs w:val="20"/>
              </w:rPr>
              <w:t>7.4</w:t>
            </w:r>
          </w:p>
        </w:tc>
        <w:tc>
          <w:tcPr>
            <w:tcW w:w="999" w:type="dxa"/>
            <w:tcBorders>
              <w:top w:val="nil"/>
              <w:left w:val="nil"/>
              <w:bottom w:val="single" w:sz="4" w:space="0" w:color="auto"/>
              <w:right w:val="single" w:sz="4" w:space="0" w:color="auto"/>
            </w:tcBorders>
            <w:shd w:val="clear" w:color="auto" w:fill="auto"/>
            <w:noWrap/>
            <w:vAlign w:val="bottom"/>
            <w:hideMark/>
          </w:tcPr>
          <w:p w14:paraId="57CAE795" w14:textId="77777777" w:rsidR="00281C82" w:rsidRDefault="00281C82" w:rsidP="00BB5054">
            <w:pPr>
              <w:jc w:val="right"/>
              <w:rPr>
                <w:rFonts w:ascii="Arial" w:hAnsi="Arial" w:cs="Arial"/>
                <w:sz w:val="20"/>
                <w:szCs w:val="20"/>
              </w:rPr>
            </w:pPr>
            <w:r>
              <w:rPr>
                <w:rFonts w:ascii="Arial" w:hAnsi="Arial" w:cs="Arial"/>
                <w:sz w:val="20"/>
                <w:szCs w:val="20"/>
              </w:rPr>
              <w:t>6.4</w:t>
            </w:r>
          </w:p>
        </w:tc>
        <w:tc>
          <w:tcPr>
            <w:tcW w:w="852" w:type="dxa"/>
            <w:tcBorders>
              <w:top w:val="nil"/>
              <w:left w:val="nil"/>
              <w:bottom w:val="single" w:sz="4" w:space="0" w:color="auto"/>
              <w:right w:val="single" w:sz="4" w:space="0" w:color="auto"/>
            </w:tcBorders>
            <w:shd w:val="clear" w:color="auto" w:fill="auto"/>
            <w:noWrap/>
            <w:vAlign w:val="bottom"/>
            <w:hideMark/>
          </w:tcPr>
          <w:p w14:paraId="1E231D51" w14:textId="77777777" w:rsidR="00281C82" w:rsidRDefault="00281C82" w:rsidP="00BB5054">
            <w:pPr>
              <w:jc w:val="right"/>
              <w:rPr>
                <w:rFonts w:ascii="Arial" w:hAnsi="Arial" w:cs="Arial"/>
                <w:sz w:val="20"/>
                <w:szCs w:val="20"/>
              </w:rPr>
            </w:pPr>
            <w:r>
              <w:rPr>
                <w:rFonts w:ascii="Arial" w:hAnsi="Arial" w:cs="Arial"/>
                <w:sz w:val="20"/>
                <w:szCs w:val="20"/>
              </w:rPr>
              <w:t>7.5</w:t>
            </w:r>
          </w:p>
        </w:tc>
        <w:tc>
          <w:tcPr>
            <w:tcW w:w="950" w:type="dxa"/>
            <w:tcBorders>
              <w:top w:val="nil"/>
              <w:left w:val="nil"/>
              <w:bottom w:val="single" w:sz="4" w:space="0" w:color="auto"/>
              <w:right w:val="single" w:sz="4" w:space="0" w:color="auto"/>
            </w:tcBorders>
            <w:shd w:val="clear" w:color="auto" w:fill="auto"/>
            <w:noWrap/>
            <w:vAlign w:val="bottom"/>
            <w:hideMark/>
          </w:tcPr>
          <w:p w14:paraId="44286C44" w14:textId="77777777" w:rsidR="00281C82" w:rsidRDefault="00281C82" w:rsidP="00BB5054">
            <w:pPr>
              <w:jc w:val="right"/>
              <w:rPr>
                <w:rFonts w:ascii="Arial" w:hAnsi="Arial" w:cs="Arial"/>
                <w:sz w:val="20"/>
                <w:szCs w:val="20"/>
              </w:rPr>
            </w:pPr>
            <w:r>
              <w:rPr>
                <w:rFonts w:ascii="Arial" w:hAnsi="Arial" w:cs="Arial"/>
                <w:sz w:val="20"/>
                <w:szCs w:val="20"/>
              </w:rPr>
              <w:t>4.8</w:t>
            </w:r>
          </w:p>
        </w:tc>
        <w:tc>
          <w:tcPr>
            <w:tcW w:w="1176" w:type="dxa"/>
            <w:tcBorders>
              <w:top w:val="nil"/>
              <w:left w:val="nil"/>
              <w:bottom w:val="single" w:sz="4" w:space="0" w:color="auto"/>
              <w:right w:val="single" w:sz="4" w:space="0" w:color="auto"/>
            </w:tcBorders>
            <w:shd w:val="clear" w:color="auto" w:fill="auto"/>
            <w:noWrap/>
            <w:vAlign w:val="bottom"/>
            <w:hideMark/>
          </w:tcPr>
          <w:p w14:paraId="5DCE3D40" w14:textId="77777777" w:rsidR="00281C82" w:rsidRDefault="00281C82" w:rsidP="00BB5054">
            <w:pPr>
              <w:jc w:val="right"/>
              <w:rPr>
                <w:rFonts w:ascii="Arial" w:hAnsi="Arial" w:cs="Arial"/>
                <w:sz w:val="20"/>
                <w:szCs w:val="20"/>
              </w:rPr>
            </w:pPr>
            <w:r>
              <w:rPr>
                <w:rFonts w:ascii="Arial" w:hAnsi="Arial" w:cs="Arial"/>
                <w:sz w:val="20"/>
                <w:szCs w:val="20"/>
              </w:rPr>
              <w:t>7.85</w:t>
            </w:r>
          </w:p>
        </w:tc>
        <w:tc>
          <w:tcPr>
            <w:tcW w:w="993" w:type="dxa"/>
            <w:tcBorders>
              <w:top w:val="nil"/>
              <w:left w:val="nil"/>
              <w:bottom w:val="single" w:sz="4" w:space="0" w:color="auto"/>
              <w:right w:val="single" w:sz="4" w:space="0" w:color="auto"/>
            </w:tcBorders>
            <w:shd w:val="clear" w:color="auto" w:fill="auto"/>
            <w:noWrap/>
            <w:vAlign w:val="bottom"/>
            <w:hideMark/>
          </w:tcPr>
          <w:p w14:paraId="4C10A434" w14:textId="77777777" w:rsidR="00281C82" w:rsidRDefault="00281C82" w:rsidP="00BB5054">
            <w:pPr>
              <w:jc w:val="right"/>
              <w:rPr>
                <w:rFonts w:ascii="Arial" w:hAnsi="Arial" w:cs="Arial"/>
                <w:sz w:val="20"/>
                <w:szCs w:val="20"/>
              </w:rPr>
            </w:pPr>
            <w:r>
              <w:rPr>
                <w:rFonts w:ascii="Arial" w:hAnsi="Arial" w:cs="Arial"/>
                <w:sz w:val="20"/>
                <w:szCs w:val="20"/>
              </w:rPr>
              <w:t>7.12</w:t>
            </w:r>
          </w:p>
        </w:tc>
        <w:tc>
          <w:tcPr>
            <w:tcW w:w="850" w:type="dxa"/>
            <w:tcBorders>
              <w:top w:val="nil"/>
              <w:left w:val="nil"/>
              <w:bottom w:val="single" w:sz="4" w:space="0" w:color="auto"/>
              <w:right w:val="single" w:sz="4" w:space="0" w:color="auto"/>
            </w:tcBorders>
            <w:shd w:val="clear" w:color="auto" w:fill="auto"/>
            <w:noWrap/>
            <w:vAlign w:val="bottom"/>
            <w:hideMark/>
          </w:tcPr>
          <w:p w14:paraId="35784492" w14:textId="77777777" w:rsidR="00281C82" w:rsidRDefault="00281C82" w:rsidP="00BB5054">
            <w:pPr>
              <w:jc w:val="right"/>
              <w:rPr>
                <w:rFonts w:ascii="Arial" w:hAnsi="Arial" w:cs="Arial"/>
                <w:sz w:val="20"/>
                <w:szCs w:val="20"/>
              </w:rPr>
            </w:pPr>
            <w:r>
              <w:rPr>
                <w:rFonts w:ascii="Arial" w:hAnsi="Arial" w:cs="Arial"/>
                <w:sz w:val="20"/>
                <w:szCs w:val="20"/>
              </w:rPr>
              <w:t>8.81</w:t>
            </w:r>
          </w:p>
        </w:tc>
        <w:tc>
          <w:tcPr>
            <w:tcW w:w="987" w:type="dxa"/>
            <w:tcBorders>
              <w:top w:val="nil"/>
              <w:left w:val="nil"/>
              <w:bottom w:val="single" w:sz="4" w:space="0" w:color="auto"/>
              <w:right w:val="single" w:sz="4" w:space="0" w:color="auto"/>
            </w:tcBorders>
            <w:shd w:val="clear" w:color="auto" w:fill="auto"/>
            <w:noWrap/>
            <w:vAlign w:val="bottom"/>
            <w:hideMark/>
          </w:tcPr>
          <w:p w14:paraId="61EB5B2C" w14:textId="77777777" w:rsidR="00281C82" w:rsidRDefault="00281C82" w:rsidP="00BB5054">
            <w:pPr>
              <w:jc w:val="right"/>
              <w:rPr>
                <w:rFonts w:ascii="Arial" w:hAnsi="Arial" w:cs="Arial"/>
                <w:sz w:val="20"/>
                <w:szCs w:val="20"/>
              </w:rPr>
            </w:pPr>
            <w:r>
              <w:rPr>
                <w:rFonts w:ascii="Arial" w:hAnsi="Arial" w:cs="Arial"/>
                <w:sz w:val="20"/>
                <w:szCs w:val="20"/>
              </w:rPr>
              <w:t>8.99</w:t>
            </w:r>
          </w:p>
        </w:tc>
      </w:tr>
    </w:tbl>
    <w:p w14:paraId="5D12EF4A" w14:textId="77777777" w:rsidR="00281C82" w:rsidRDefault="00281C82" w:rsidP="00281C82">
      <w:pPr>
        <w:jc w:val="center"/>
        <w:rPr>
          <w:rFonts w:ascii="Courier New" w:hAnsi="Courier New" w:cs="Courier New"/>
          <w:color w:val="182026"/>
          <w:sz w:val="20"/>
          <w:szCs w:val="20"/>
          <w:shd w:val="clear" w:color="auto" w:fill="FFFFFF"/>
        </w:rPr>
      </w:pPr>
    </w:p>
    <w:p w14:paraId="3A72C8AB" w14:textId="77777777" w:rsidR="00281C82" w:rsidRDefault="00281C82" w:rsidP="00281C82">
      <w:pPr>
        <w:jc w:val="center"/>
      </w:pPr>
      <w:r>
        <w:t>Další část se bude zabývat do jaké míry podniky v zemích  jak efektivně využívají výrobní faktory a jaké jsou zhlavní zdroj růstu v udevených ekonomikách oproti průměru zemích EU (EU 28)</w:t>
      </w:r>
    </w:p>
    <w:p w14:paraId="60891957" w14:textId="77777777" w:rsidR="00281C82" w:rsidRDefault="00281C82" w:rsidP="00281C82"/>
    <w:p w14:paraId="069E1AEA" w14:textId="77777777" w:rsidR="00281C82" w:rsidRDefault="00281C82" w:rsidP="00281C82"/>
    <w:p w14:paraId="7A7B4398" w14:textId="77777777" w:rsidR="00281C82" w:rsidRDefault="00281C82" w:rsidP="00281C82">
      <w:r>
        <w:t>Vývoj GVA od roku 2004  - 2019</w:t>
      </w:r>
    </w:p>
    <w:p w14:paraId="65DD0E16" w14:textId="77777777" w:rsidR="00281C82" w:rsidRDefault="00281C82" w:rsidP="00281C82"/>
    <w:p w14:paraId="6C72432C" w14:textId="77777777" w:rsidR="00281C82" w:rsidRDefault="00281C82" w:rsidP="00281C82"/>
    <w:p w14:paraId="7687DF60" w14:textId="77777777" w:rsidR="00281C82" w:rsidRDefault="00281C82" w:rsidP="00281C82"/>
    <w:p w14:paraId="55915165" w14:textId="77777777" w:rsidR="00281C82" w:rsidRDefault="00281C82" w:rsidP="00281C82">
      <w:r>
        <w:t>Vývoj PP   +  tempo růstu ON</w:t>
      </w:r>
    </w:p>
    <w:p w14:paraId="42EC82B5" w14:textId="77777777" w:rsidR="00281C82" w:rsidRDefault="00281C82" w:rsidP="00281C82"/>
    <w:p w14:paraId="065F2CA1" w14:textId="77777777" w:rsidR="00281C82" w:rsidRDefault="00281C82" w:rsidP="00281C82"/>
    <w:p w14:paraId="0C3FCBEC" w14:textId="77777777" w:rsidR="00281C82" w:rsidRDefault="00281C82" w:rsidP="00281C82"/>
    <w:p w14:paraId="067ECF64" w14:textId="77777777" w:rsidR="00281C82" w:rsidRDefault="00281C82" w:rsidP="00281C82">
      <w:r>
        <w:t xml:space="preserve">Vývoj PK </w:t>
      </w:r>
    </w:p>
    <w:p w14:paraId="49E6DAB6" w14:textId="77777777" w:rsidR="00281C82" w:rsidRDefault="00281C82" w:rsidP="00281C82"/>
    <w:p w14:paraId="3861587A" w14:textId="77777777" w:rsidR="00281C82" w:rsidRDefault="00281C82" w:rsidP="00281C82"/>
    <w:p w14:paraId="098C0A6E" w14:textId="77777777" w:rsidR="00281C82" w:rsidRDefault="00281C82" w:rsidP="00281C82"/>
    <w:p w14:paraId="5C78C3B9" w14:textId="77777777" w:rsidR="00281C82" w:rsidRDefault="00281C82" w:rsidP="00281C82">
      <w:r>
        <w:t xml:space="preserve">Vývoj TFP a </w:t>
      </w:r>
    </w:p>
    <w:p w14:paraId="1FF97F07" w14:textId="77777777" w:rsidR="00281C82" w:rsidRDefault="00281C82" w:rsidP="00281C82"/>
    <w:p w14:paraId="418AFBD2" w14:textId="77777777" w:rsidR="00281C82" w:rsidRDefault="00281C82" w:rsidP="00281C82">
      <w:r>
        <w:t xml:space="preserve">Vývoj VPK  + GMI  </w:t>
      </w:r>
    </w:p>
    <w:p w14:paraId="0BEB7DAF" w14:textId="77777777" w:rsidR="00281C82" w:rsidRDefault="00281C82" w:rsidP="00281C82"/>
    <w:p w14:paraId="6441669B" w14:textId="77777777" w:rsidR="00281C82" w:rsidRDefault="00281C82" w:rsidP="00281C82">
      <w:r w:rsidRPr="00224415">
        <w:t>Tento pojem (alokační efektivnost) vypovídá o významu narušení trhu nebo chybné alokace, neboť ukazuje, do jaké míry mají nejefektivnější podniky větší podíl na trhu. Alokační efektivnost lze také odvodit jako rozdíl mezi neváženou průměrnou produktivitou a váženou průměrnou produktivitou v procentech.</w:t>
      </w:r>
      <w:r>
        <w:t xml:space="preserve"> (Decomposition of Productivity and Allocative Efficiency in Serbian Industry Dondur)</w:t>
      </w:r>
    </w:p>
    <w:p w14:paraId="3C0A45D0" w14:textId="77777777" w:rsidR="00281C82" w:rsidRDefault="00281C82" w:rsidP="00281C82"/>
    <w:p w14:paraId="71251FEA" w14:textId="77777777" w:rsidR="00281C82" w:rsidRDefault="00281C82" w:rsidP="00281C82"/>
    <w:p w14:paraId="38464EAB" w14:textId="77777777" w:rsidR="00281C82" w:rsidRDefault="00281C82" w:rsidP="00281C82"/>
    <w:p w14:paraId="7C44B6EE" w14:textId="77777777" w:rsidR="00281C82" w:rsidRDefault="00281C82" w:rsidP="00281C82"/>
    <w:p w14:paraId="732ACD3B" w14:textId="77777777" w:rsidR="00281C82" w:rsidRDefault="00281C82" w:rsidP="00281C82"/>
    <w:p w14:paraId="4C104B8A" w14:textId="77777777" w:rsidR="00281C82" w:rsidRDefault="00281C82" w:rsidP="00281C82"/>
    <w:p w14:paraId="282ED7C2" w14:textId="77777777" w:rsidR="00281C82" w:rsidRDefault="00281C82" w:rsidP="00281C82"/>
    <w:p w14:paraId="2817F329" w14:textId="77777777" w:rsidR="00281C82" w:rsidRDefault="00281C82" w:rsidP="00281C82"/>
    <w:p w14:paraId="39D842E3" w14:textId="77777777" w:rsidR="00281C82" w:rsidRDefault="00281C82" w:rsidP="00281C82"/>
    <w:p w14:paraId="388AD3E2" w14:textId="77777777" w:rsidR="00281C82" w:rsidRDefault="00281C82" w:rsidP="00281C82"/>
    <w:p w14:paraId="40EF61A3" w14:textId="77777777" w:rsidR="00281C82" w:rsidRDefault="00281C82" w:rsidP="00281C82"/>
    <w:p w14:paraId="3A819091" w14:textId="77777777" w:rsidR="00281C82" w:rsidRDefault="00281C82" w:rsidP="00281C82"/>
    <w:p w14:paraId="1793E92A" w14:textId="77777777" w:rsidR="00281C82" w:rsidRDefault="00281C82" w:rsidP="00281C82"/>
    <w:p w14:paraId="2064A59C" w14:textId="77777777" w:rsidR="00281C82" w:rsidRDefault="00281C82" w:rsidP="00281C82"/>
    <w:p w14:paraId="503211BC" w14:textId="77777777" w:rsidR="00281C82" w:rsidRDefault="00281C82" w:rsidP="00281C82"/>
    <w:p w14:paraId="2BDF3EC0" w14:textId="77777777" w:rsidR="00281C82" w:rsidRDefault="00281C82" w:rsidP="00281C82"/>
    <w:p w14:paraId="2E772358" w14:textId="77777777" w:rsidR="00281C82" w:rsidRDefault="00281C82" w:rsidP="00281C82"/>
    <w:p w14:paraId="2B93A769" w14:textId="77777777" w:rsidR="00281C82" w:rsidRDefault="00281C82" w:rsidP="00281C82"/>
    <w:p w14:paraId="5A8A22B6" w14:textId="77777777" w:rsidR="00281C82" w:rsidRDefault="00281C82" w:rsidP="00281C82"/>
    <w:p w14:paraId="00628978" w14:textId="77777777" w:rsidR="00281C82" w:rsidRDefault="00281C82" w:rsidP="00281C82"/>
    <w:p w14:paraId="5F4082E7" w14:textId="77777777" w:rsidR="00281C82" w:rsidRDefault="00281C82" w:rsidP="00281C82"/>
    <w:p w14:paraId="48EACE9B" w14:textId="77777777" w:rsidR="00281C82" w:rsidRDefault="00281C82" w:rsidP="00281C82"/>
    <w:p w14:paraId="7304EDBE" w14:textId="77777777" w:rsidR="00281C82" w:rsidRDefault="00281C82" w:rsidP="00281C82"/>
    <w:p w14:paraId="1F217F45" w14:textId="77777777" w:rsidR="00281C82" w:rsidRDefault="00281C82" w:rsidP="00281C82"/>
    <w:p w14:paraId="631C4D9C" w14:textId="77777777" w:rsidR="00281C82" w:rsidRDefault="00281C82" w:rsidP="00281C82"/>
    <w:p w14:paraId="4FDA47D1" w14:textId="77777777" w:rsidR="00281C82" w:rsidRDefault="00281C82" w:rsidP="00281C82"/>
    <w:p w14:paraId="0401F738" w14:textId="77777777" w:rsidR="00281C82" w:rsidRDefault="00281C82" w:rsidP="00281C82"/>
    <w:p w14:paraId="5A75CE19" w14:textId="77777777" w:rsidR="00281C82" w:rsidRDefault="00281C82" w:rsidP="00281C82"/>
    <w:p w14:paraId="74707C1B" w14:textId="77777777" w:rsidR="00281C82" w:rsidRDefault="00281C82" w:rsidP="00281C82"/>
    <w:p w14:paraId="1A560EA6" w14:textId="77777777" w:rsidR="0039476E" w:rsidRDefault="0039476E" w:rsidP="0009563E"/>
    <w:p w14:paraId="727CAD13" w14:textId="77777777" w:rsidR="0039476E" w:rsidRDefault="0039476E" w:rsidP="0009563E"/>
    <w:p w14:paraId="3408A9A4" w14:textId="77777777" w:rsidR="00E97031" w:rsidRDefault="00B67022">
      <w:r>
        <w:t xml:space="preserve">Podniková analýza </w:t>
      </w:r>
    </w:p>
    <w:p w14:paraId="4B60B63E" w14:textId="77777777" w:rsidR="00B67022" w:rsidRDefault="00B67022" w:rsidP="00B67022">
      <w:r>
        <w:t>Část 2 Tato druhá část práce se  zaměřuje na dohánění produktivity mezi Německými podniky a podniky zemí V4 ve zpracovatelském průmyslu.</w:t>
      </w:r>
      <w:r w:rsidRPr="00C9231C">
        <w:t xml:space="preserve"> </w:t>
      </w:r>
      <w:r>
        <w:t>Měří zejména dohánění produktivity práce a kapitálu indexovou metodou  tzn. catch up index.  Catch up index LP  pro každou firmu je definována jako jako vzdálenost každé firmy od průměrného LP odvětví, do kterého patří</w:t>
      </w:r>
      <w:r w:rsidRPr="00C9231C">
        <w:t xml:space="preserve"> </w:t>
      </w:r>
      <w:r>
        <w:t>konkrétní státu  plus země-Německo  vzdálenost měřená průměrným LP každého sektoru ve dvou zemích.</w:t>
      </w:r>
    </w:p>
    <w:p w14:paraId="583C552B" w14:textId="77777777" w:rsidR="00B67022" w:rsidRDefault="00B67022"/>
    <w:p w14:paraId="1D9C3B00" w14:textId="77777777" w:rsidR="00E97031" w:rsidRDefault="00E97031"/>
    <w:p w14:paraId="0D902374" w14:textId="77777777" w:rsidR="00FA088A" w:rsidRDefault="00FA088A"/>
    <w:p w14:paraId="6DACD24F" w14:textId="77777777" w:rsidR="00B67022" w:rsidRDefault="00B67022"/>
    <w:p w14:paraId="1A0D113F" w14:textId="77777777" w:rsidR="00B67022" w:rsidRDefault="00B67022"/>
    <w:p w14:paraId="025B4AC6" w14:textId="77777777" w:rsidR="00B67022" w:rsidRDefault="00B67022"/>
    <w:p w14:paraId="035039D7" w14:textId="77777777" w:rsidR="00B67022" w:rsidRDefault="00B67022"/>
    <w:p w14:paraId="37C7B185" w14:textId="77777777" w:rsidR="00B67022" w:rsidRDefault="00B67022"/>
    <w:p w14:paraId="02F1FF93" w14:textId="77777777" w:rsidR="00B67022" w:rsidRDefault="00B67022"/>
    <w:p w14:paraId="18E66872" w14:textId="77777777" w:rsidR="00B67022" w:rsidRDefault="00B67022"/>
    <w:p w14:paraId="5A41A02D" w14:textId="77777777" w:rsidR="00B67022" w:rsidRDefault="00B67022"/>
    <w:p w14:paraId="22AAC91F" w14:textId="77777777" w:rsidR="00B67022" w:rsidRDefault="00B67022"/>
    <w:p w14:paraId="0CF27DE3" w14:textId="77777777" w:rsidR="00B67022" w:rsidRDefault="00B67022"/>
    <w:p w14:paraId="4DD415DA" w14:textId="77777777" w:rsidR="00B67022" w:rsidRDefault="00B67022"/>
    <w:p w14:paraId="5C57225D" w14:textId="77777777" w:rsidR="00B67022" w:rsidRDefault="00B67022"/>
    <w:p w14:paraId="15CE1F48" w14:textId="77777777" w:rsidR="00B67022" w:rsidRDefault="00B67022"/>
    <w:p w14:paraId="1F92CA4D" w14:textId="77777777" w:rsidR="00B67022" w:rsidRDefault="00B67022"/>
    <w:p w14:paraId="5D67A7D7" w14:textId="77777777" w:rsidR="00B67022" w:rsidRDefault="00B67022"/>
    <w:p w14:paraId="6C9EC1F6" w14:textId="77777777" w:rsidR="00B67022" w:rsidRDefault="00B67022"/>
    <w:p w14:paraId="2183F8EC" w14:textId="77777777" w:rsidR="00B67022" w:rsidRDefault="00B67022"/>
    <w:p w14:paraId="5EF147A1" w14:textId="77777777" w:rsidR="00B67022" w:rsidRDefault="00B67022"/>
    <w:p w14:paraId="6955D9C8" w14:textId="77777777" w:rsidR="00FA088A" w:rsidRDefault="00FA088A">
      <w:r>
        <w:rPr>
          <w:rFonts w:ascii="Arial" w:hAnsi="Arial" w:cs="Arial"/>
          <w:b/>
          <w:bCs/>
          <w:color w:val="222222"/>
          <w:sz w:val="27"/>
          <w:szCs w:val="27"/>
          <w:shd w:val="clear" w:color="auto" w:fill="FFFFFF"/>
        </w:rPr>
        <w:lastRenderedPageBreak/>
        <w:t>Stavy kapitálu, především po odpočtu odpisů a závazků, představují hodnotu bohatství společnosti, které je neprávem uživateli přehlíženo ve srovnání se zájmem například o hrubý domácí produkt. Odpisy fixních aktiv v národních účtech, skrývající se pod tajemnou položkou spotřeba fixního kapitálu, poskytují cenné informace například i o kvalitě našich silnic a dálnic.</w:t>
      </w:r>
    </w:p>
    <w:p w14:paraId="1D90B5E2" w14:textId="77777777" w:rsidR="00E97031" w:rsidRPr="002A5658" w:rsidRDefault="00E97031"/>
    <w:p w14:paraId="539E6BFA" w14:textId="77777777" w:rsidR="00E93CAA" w:rsidRDefault="00E93CAA">
      <w:r w:rsidRPr="002A5658">
        <w:t>The gross investment rate of non-financial corporations is defined as gross fixed capital formation (ESA 2010 code: P.51g) divided by gross value added (B1g). This ratio relates the investment of non-financial businesses in fixed assets (buildings, machinery etc.) to the value added created during the production process. Non-financial corporation includes all private and public corporate enterprises that produce goods or provide non-financial services to the market (ESA 2010 code: S11) Indicator described is calculated on the basis of quarterly sector accounts data by institutional sectors. Sector accounts are compiled in accordance with European System of Accounts (ESA 2010). Data are expressed in percentage, in non-seasonal adjusted as well as in seasonal and calendar adjusted form.</w:t>
      </w:r>
    </w:p>
    <w:p w14:paraId="7FA13D98" w14:textId="77777777" w:rsidR="002A5658" w:rsidRDefault="002A5658"/>
    <w:p w14:paraId="67C4E002" w14:textId="77777777" w:rsidR="002A5658" w:rsidRDefault="002A5658"/>
    <w:p w14:paraId="06D2AD3B" w14:textId="77777777" w:rsidR="002A5658" w:rsidRDefault="002A5658" w:rsidP="002A5658">
      <w:r>
        <w:t>Hrubá míra investic nefinančních podniků je definována jako podíl tvorby hrubého fixního kapitálu (kód ESA 2010: P.51g) a hrubé přidané hodnoty (B1g). Tento ukazatel vztahuje investice nefinančních podniků do dlouhodobého majetku (budovy, stroje atd.) k přidané hodnotě vytvořené během výrobního procesu. Nefinanční podniky zahrnují všechny soukromé a veřejné podniky, které vyrábějí zboží nebo poskytují nefinanční služby na trhu (kód ESA 2010: S11) Popsaný ukazatel se počítá na základě čtvrtletních údajů sektorových účtů podle institucionálních sektorů. Sektorové účty jsou sestavovány v souladu s Evropským systémem účtů (ESA 2010). Údaje jsou vyjádřeny v procentech, v nesezónně očištěné i sezónně a kalendářně očištěné podobě.</w:t>
      </w:r>
    </w:p>
    <w:p w14:paraId="5B4C779D" w14:textId="77777777" w:rsidR="002A5658" w:rsidRDefault="002A5658" w:rsidP="002A5658"/>
    <w:p w14:paraId="1F95B14E" w14:textId="77777777" w:rsidR="002A5658" w:rsidRDefault="00EF1091" w:rsidP="002A5658">
      <w:r>
        <w:rPr>
          <w:rFonts w:ascii="Courier New" w:hAnsi="Courier New" w:cs="Courier New"/>
          <w:color w:val="182026"/>
          <w:sz w:val="20"/>
          <w:szCs w:val="20"/>
          <w:shd w:val="clear" w:color="auto" w:fill="FFFFFF"/>
        </w:rPr>
        <w:t>ento oddíl zahrnuje výrobu strojů a zařízení, které mechanicky nebo tepelně působí na materiály nebo na materiálech provádějí výrobní procesy (např. manipulaci, postřikování, vážení nebo balení), vč. výroby jejich mechanických komponentů, které produkují a využívají sílu. Patří sem také speciálně vyrobené díly na tyto stroje a zařízení. Do tohoto oddílu dále patří pevná, pohyblivá nebo ručně ovládaná zařízení bez ohledu na to, zda jsou určená pro průmysl, řemesla, stavebnictví, zemědělství nebo pro použití v domácnostech. Výroba speciálních zařízení pro cestující nebo nákladní dopravu patří také do tohoto oddílu. V tomto oddíle rozlišujeme mezi výrobou speciálních strojů určených pro určitá hospodářská odvětví, tzn. pro výlučné používání v některém odvětví dle CZ-NACE, nebo malou skupinou odvětví dle CZ-NACE, a strojů určených pro všeobecné využití, tzn. v široké škále hospodářských odvětví dle CZ-NACE. Tento oddíl dále zahrnuje ostatní speciální stroje, nezahrnuté v jiných oddílech klasifikace, nezávisle na tom, zda jsou nebo nejsou využívány v určitém procesu výroby, např. pojízdné pouťové atrakce, vybavení pro automatické bowlingové dráhy. Tento oddíl nezahrnuje výrobu kovodělných výrobků pro všeobecné použití (</w:t>
      </w:r>
      <w:hyperlink r:id="rId33" w:history="1">
        <w:r>
          <w:rPr>
            <w:rStyle w:val="Hypertextovodkaz"/>
            <w:rFonts w:ascii="Courier New" w:hAnsi="Courier New" w:cs="Courier New"/>
            <w:color w:val="1F4B99"/>
            <w:sz w:val="20"/>
            <w:szCs w:val="20"/>
            <w:u w:val="none"/>
            <w:shd w:val="clear" w:color="auto" w:fill="B3CFFF"/>
          </w:rPr>
          <w:t>oddíl 25</w:t>
        </w:r>
      </w:hyperlink>
      <w:r>
        <w:rPr>
          <w:rFonts w:ascii="Courier New" w:hAnsi="Courier New" w:cs="Courier New"/>
          <w:color w:val="182026"/>
          <w:sz w:val="20"/>
          <w:szCs w:val="20"/>
          <w:shd w:val="clear" w:color="auto" w:fill="FFFFFF"/>
        </w:rPr>
        <w:t>), výrobu kontrolních zařízení, počítačů, měřicích a zkušebních zařízení, elektrických rozvodných a spínacích zařízení (</w:t>
      </w:r>
      <w:hyperlink r:id="rId34" w:history="1">
        <w:r>
          <w:rPr>
            <w:rStyle w:val="Hypertextovodkaz"/>
            <w:rFonts w:ascii="Courier New" w:hAnsi="Courier New" w:cs="Courier New"/>
            <w:color w:val="1F4B99"/>
            <w:sz w:val="20"/>
            <w:szCs w:val="20"/>
            <w:u w:val="none"/>
            <w:shd w:val="clear" w:color="auto" w:fill="B3CFFF"/>
          </w:rPr>
          <w:t>oddíly 26</w:t>
        </w:r>
      </w:hyperlink>
      <w:r>
        <w:rPr>
          <w:rFonts w:ascii="Courier New" w:hAnsi="Courier New" w:cs="Courier New"/>
          <w:color w:val="182026"/>
          <w:sz w:val="20"/>
          <w:szCs w:val="20"/>
          <w:shd w:val="clear" w:color="auto" w:fill="FFFFFF"/>
        </w:rPr>
        <w:t xml:space="preserve"> a </w:t>
      </w:r>
      <w:hyperlink r:id="rId35" w:history="1">
        <w:r>
          <w:rPr>
            <w:rStyle w:val="Hypertextovodkaz"/>
            <w:rFonts w:ascii="Courier New" w:hAnsi="Courier New" w:cs="Courier New"/>
            <w:color w:val="1F4B99"/>
            <w:sz w:val="20"/>
            <w:szCs w:val="20"/>
            <w:u w:val="none"/>
            <w:shd w:val="clear" w:color="auto" w:fill="B3CFFF"/>
          </w:rPr>
          <w:t>27</w:t>
        </w:r>
      </w:hyperlink>
      <w:r>
        <w:rPr>
          <w:rFonts w:ascii="Courier New" w:hAnsi="Courier New" w:cs="Courier New"/>
          <w:color w:val="182026"/>
          <w:sz w:val="20"/>
          <w:szCs w:val="20"/>
          <w:shd w:val="clear" w:color="auto" w:fill="FFFFFF"/>
        </w:rPr>
        <w:t>) a výrobu dopravních zařízení (</w:t>
      </w:r>
      <w:hyperlink r:id="rId36" w:history="1">
        <w:r>
          <w:rPr>
            <w:rStyle w:val="Hypertextovodkaz"/>
            <w:rFonts w:ascii="Courier New" w:hAnsi="Courier New" w:cs="Courier New"/>
            <w:color w:val="1F4B99"/>
            <w:sz w:val="20"/>
            <w:szCs w:val="20"/>
            <w:u w:val="none"/>
            <w:shd w:val="clear" w:color="auto" w:fill="B3CFFF"/>
          </w:rPr>
          <w:t>oddíly 29</w:t>
        </w:r>
      </w:hyperlink>
      <w:r>
        <w:rPr>
          <w:rFonts w:ascii="Courier New" w:hAnsi="Courier New" w:cs="Courier New"/>
          <w:color w:val="182026"/>
          <w:sz w:val="20"/>
          <w:szCs w:val="20"/>
          <w:shd w:val="clear" w:color="auto" w:fill="FFFFFF"/>
        </w:rPr>
        <w:t xml:space="preserve"> a </w:t>
      </w:r>
      <w:hyperlink r:id="rId37" w:history="1">
        <w:r>
          <w:rPr>
            <w:rStyle w:val="Hypertextovodkaz"/>
            <w:rFonts w:ascii="Courier New" w:hAnsi="Courier New" w:cs="Courier New"/>
            <w:color w:val="1F4B99"/>
            <w:sz w:val="20"/>
            <w:szCs w:val="20"/>
            <w:u w:val="none"/>
            <w:shd w:val="clear" w:color="auto" w:fill="B3CFFF"/>
          </w:rPr>
          <w:t>30</w:t>
        </w:r>
      </w:hyperlink>
      <w:r>
        <w:rPr>
          <w:rFonts w:ascii="Courier New" w:hAnsi="Courier New" w:cs="Courier New"/>
          <w:color w:val="182026"/>
          <w:sz w:val="20"/>
          <w:szCs w:val="20"/>
          <w:shd w:val="clear" w:color="auto" w:fill="FFFFFF"/>
        </w:rPr>
        <w:t>).</w:t>
      </w:r>
    </w:p>
    <w:p w14:paraId="4CBFCD0F" w14:textId="77777777" w:rsidR="002A5658" w:rsidRDefault="002A5658" w:rsidP="002A5658">
      <w:r>
        <w:lastRenderedPageBreak/>
        <w:t>Translated with www.DeepL.com/Translator (free version)</w:t>
      </w:r>
    </w:p>
    <w:p w14:paraId="752A9C7A" w14:textId="77777777" w:rsidR="00BA5D22" w:rsidRDefault="00BA5D22" w:rsidP="002A5658"/>
    <w:p w14:paraId="7EC1E0F6" w14:textId="77777777" w:rsidR="00BA5D22" w:rsidRDefault="00BA5D22" w:rsidP="002A5658"/>
    <w:p w14:paraId="6EE04C41" w14:textId="77777777" w:rsidR="00BA5D22" w:rsidRDefault="00BA5D22" w:rsidP="00BA5D22"/>
    <w:tbl>
      <w:tblPr>
        <w:tblW w:w="3520" w:type="dxa"/>
        <w:tblLook w:val="04A0" w:firstRow="1" w:lastRow="0" w:firstColumn="1" w:lastColumn="0" w:noHBand="0" w:noVBand="1"/>
      </w:tblPr>
      <w:tblGrid>
        <w:gridCol w:w="1600"/>
        <w:gridCol w:w="960"/>
        <w:gridCol w:w="1053"/>
      </w:tblGrid>
      <w:tr w:rsidR="00BA5D22" w:rsidRPr="006F4B64" w14:paraId="0E23EF50" w14:textId="77777777" w:rsidTr="00683D92">
        <w:trPr>
          <w:trHeight w:val="300"/>
        </w:trPr>
        <w:tc>
          <w:tcPr>
            <w:tcW w:w="1600" w:type="dxa"/>
            <w:tcBorders>
              <w:top w:val="nil"/>
              <w:left w:val="nil"/>
              <w:bottom w:val="nil"/>
              <w:right w:val="nil"/>
            </w:tcBorders>
            <w:shd w:val="clear" w:color="auto" w:fill="auto"/>
            <w:noWrap/>
            <w:vAlign w:val="bottom"/>
            <w:hideMark/>
          </w:tcPr>
          <w:p w14:paraId="2DDA4270"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EU 28</w:t>
            </w:r>
          </w:p>
        </w:tc>
        <w:tc>
          <w:tcPr>
            <w:tcW w:w="960" w:type="dxa"/>
            <w:tcBorders>
              <w:top w:val="nil"/>
              <w:left w:val="nil"/>
              <w:bottom w:val="nil"/>
              <w:right w:val="nil"/>
            </w:tcBorders>
            <w:shd w:val="clear" w:color="auto" w:fill="auto"/>
            <w:noWrap/>
            <w:vAlign w:val="bottom"/>
            <w:hideMark/>
          </w:tcPr>
          <w:p w14:paraId="2933A10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CB530F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0.93583</w:t>
            </w:r>
          </w:p>
        </w:tc>
      </w:tr>
      <w:tr w:rsidR="00BA5D22" w:rsidRPr="006F4B64" w14:paraId="600B0AB2" w14:textId="77777777" w:rsidTr="00683D92">
        <w:trPr>
          <w:trHeight w:val="300"/>
        </w:trPr>
        <w:tc>
          <w:tcPr>
            <w:tcW w:w="1600" w:type="dxa"/>
            <w:tcBorders>
              <w:top w:val="nil"/>
              <w:left w:val="nil"/>
              <w:bottom w:val="nil"/>
              <w:right w:val="nil"/>
            </w:tcBorders>
            <w:shd w:val="clear" w:color="auto" w:fill="auto"/>
            <w:noWrap/>
            <w:vAlign w:val="bottom"/>
            <w:hideMark/>
          </w:tcPr>
          <w:p w14:paraId="13A08E68"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83E40E" w14:textId="77777777" w:rsidR="00BA5D22" w:rsidRPr="006F4B64" w:rsidRDefault="00BA5D22" w:rsidP="00683D92">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BD0B060" w14:textId="77777777" w:rsidR="00BA5D22" w:rsidRPr="006F4B64" w:rsidRDefault="00BA5D22" w:rsidP="00683D92">
            <w:pPr>
              <w:spacing w:after="0" w:line="240" w:lineRule="auto"/>
              <w:rPr>
                <w:rFonts w:ascii="Times New Roman" w:eastAsia="Times New Roman" w:hAnsi="Times New Roman" w:cs="Times New Roman"/>
                <w:sz w:val="20"/>
                <w:szCs w:val="20"/>
                <w:lang w:val="en-GB" w:eastAsia="en-GB"/>
              </w:rPr>
            </w:pPr>
          </w:p>
        </w:tc>
      </w:tr>
      <w:tr w:rsidR="00BA5D22" w:rsidRPr="006F4B64" w14:paraId="61937F93" w14:textId="77777777" w:rsidTr="00683D92">
        <w:trPr>
          <w:trHeight w:val="300"/>
        </w:trPr>
        <w:tc>
          <w:tcPr>
            <w:tcW w:w="1600" w:type="dxa"/>
            <w:tcBorders>
              <w:top w:val="nil"/>
              <w:left w:val="nil"/>
              <w:bottom w:val="nil"/>
              <w:right w:val="nil"/>
            </w:tcBorders>
            <w:shd w:val="clear" w:color="auto" w:fill="auto"/>
            <w:noWrap/>
            <w:vAlign w:val="bottom"/>
            <w:hideMark/>
          </w:tcPr>
          <w:p w14:paraId="22A634D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Lucembursko</w:t>
            </w:r>
          </w:p>
        </w:tc>
        <w:tc>
          <w:tcPr>
            <w:tcW w:w="960" w:type="dxa"/>
            <w:tcBorders>
              <w:top w:val="nil"/>
              <w:left w:val="nil"/>
              <w:bottom w:val="nil"/>
              <w:right w:val="nil"/>
            </w:tcBorders>
            <w:shd w:val="clear" w:color="auto" w:fill="auto"/>
            <w:noWrap/>
            <w:vAlign w:val="bottom"/>
            <w:hideMark/>
          </w:tcPr>
          <w:p w14:paraId="5D46F93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6D2D71F"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0.562461</w:t>
            </w:r>
          </w:p>
        </w:tc>
      </w:tr>
      <w:tr w:rsidR="00BA5D22" w:rsidRPr="006F4B64" w14:paraId="42AEA32C" w14:textId="77777777" w:rsidTr="00683D92">
        <w:trPr>
          <w:trHeight w:val="300"/>
        </w:trPr>
        <w:tc>
          <w:tcPr>
            <w:tcW w:w="1600" w:type="dxa"/>
            <w:tcBorders>
              <w:top w:val="nil"/>
              <w:left w:val="nil"/>
              <w:bottom w:val="nil"/>
              <w:right w:val="nil"/>
            </w:tcBorders>
            <w:shd w:val="clear" w:color="auto" w:fill="auto"/>
            <w:noWrap/>
            <w:vAlign w:val="bottom"/>
            <w:hideMark/>
          </w:tcPr>
          <w:p w14:paraId="729216E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Kypr</w:t>
            </w:r>
          </w:p>
        </w:tc>
        <w:tc>
          <w:tcPr>
            <w:tcW w:w="960" w:type="dxa"/>
            <w:tcBorders>
              <w:top w:val="nil"/>
              <w:left w:val="nil"/>
              <w:bottom w:val="nil"/>
              <w:right w:val="nil"/>
            </w:tcBorders>
            <w:shd w:val="clear" w:color="auto" w:fill="auto"/>
            <w:noWrap/>
            <w:vAlign w:val="bottom"/>
            <w:hideMark/>
          </w:tcPr>
          <w:p w14:paraId="69854FF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A5AA66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0.678675</w:t>
            </w:r>
          </w:p>
        </w:tc>
      </w:tr>
      <w:tr w:rsidR="00BA5D22" w:rsidRPr="006F4B64" w14:paraId="26DF1D41" w14:textId="77777777" w:rsidTr="00683D92">
        <w:trPr>
          <w:trHeight w:val="300"/>
        </w:trPr>
        <w:tc>
          <w:tcPr>
            <w:tcW w:w="1600" w:type="dxa"/>
            <w:tcBorders>
              <w:top w:val="nil"/>
              <w:left w:val="nil"/>
              <w:bottom w:val="nil"/>
              <w:right w:val="nil"/>
            </w:tcBorders>
            <w:shd w:val="clear" w:color="auto" w:fill="auto"/>
            <w:noWrap/>
            <w:vAlign w:val="bottom"/>
            <w:hideMark/>
          </w:tcPr>
          <w:p w14:paraId="40B69C16"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Španělsko</w:t>
            </w:r>
          </w:p>
        </w:tc>
        <w:tc>
          <w:tcPr>
            <w:tcW w:w="960" w:type="dxa"/>
            <w:tcBorders>
              <w:top w:val="nil"/>
              <w:left w:val="nil"/>
              <w:bottom w:val="nil"/>
              <w:right w:val="nil"/>
            </w:tcBorders>
            <w:shd w:val="clear" w:color="auto" w:fill="auto"/>
            <w:noWrap/>
            <w:vAlign w:val="bottom"/>
            <w:hideMark/>
          </w:tcPr>
          <w:p w14:paraId="388ECE4F"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98D9021"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0.768193</w:t>
            </w:r>
          </w:p>
        </w:tc>
      </w:tr>
      <w:tr w:rsidR="00BA5D22" w:rsidRPr="006F4B64" w14:paraId="631C4EC9" w14:textId="77777777" w:rsidTr="00683D92">
        <w:trPr>
          <w:trHeight w:val="300"/>
        </w:trPr>
        <w:tc>
          <w:tcPr>
            <w:tcW w:w="1600" w:type="dxa"/>
            <w:tcBorders>
              <w:top w:val="nil"/>
              <w:left w:val="nil"/>
              <w:bottom w:val="nil"/>
              <w:right w:val="nil"/>
            </w:tcBorders>
            <w:shd w:val="clear" w:color="auto" w:fill="auto"/>
            <w:noWrap/>
            <w:vAlign w:val="bottom"/>
            <w:hideMark/>
          </w:tcPr>
          <w:p w14:paraId="5872033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Malta</w:t>
            </w:r>
          </w:p>
        </w:tc>
        <w:tc>
          <w:tcPr>
            <w:tcW w:w="960" w:type="dxa"/>
            <w:tcBorders>
              <w:top w:val="nil"/>
              <w:left w:val="nil"/>
              <w:bottom w:val="nil"/>
              <w:right w:val="nil"/>
            </w:tcBorders>
            <w:shd w:val="clear" w:color="auto" w:fill="auto"/>
            <w:noWrap/>
            <w:vAlign w:val="bottom"/>
            <w:hideMark/>
          </w:tcPr>
          <w:p w14:paraId="28F2C640"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4AC5A99"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0.769801</w:t>
            </w:r>
          </w:p>
        </w:tc>
      </w:tr>
      <w:tr w:rsidR="00BA5D22" w:rsidRPr="006F4B64" w14:paraId="476F32E9" w14:textId="77777777" w:rsidTr="00683D92">
        <w:trPr>
          <w:trHeight w:val="300"/>
        </w:trPr>
        <w:tc>
          <w:tcPr>
            <w:tcW w:w="1600" w:type="dxa"/>
            <w:tcBorders>
              <w:top w:val="nil"/>
              <w:left w:val="nil"/>
              <w:bottom w:val="nil"/>
              <w:right w:val="nil"/>
            </w:tcBorders>
            <w:shd w:val="clear" w:color="auto" w:fill="auto"/>
            <w:noWrap/>
            <w:vAlign w:val="bottom"/>
            <w:hideMark/>
          </w:tcPr>
          <w:p w14:paraId="50075F7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 xml:space="preserve">Velká Británie </w:t>
            </w:r>
          </w:p>
        </w:tc>
        <w:tc>
          <w:tcPr>
            <w:tcW w:w="960" w:type="dxa"/>
            <w:tcBorders>
              <w:top w:val="nil"/>
              <w:left w:val="nil"/>
              <w:bottom w:val="nil"/>
              <w:right w:val="nil"/>
            </w:tcBorders>
            <w:shd w:val="clear" w:color="auto" w:fill="auto"/>
            <w:noWrap/>
            <w:vAlign w:val="bottom"/>
            <w:hideMark/>
          </w:tcPr>
          <w:p w14:paraId="45E742E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3FDB75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0.790711</w:t>
            </w:r>
          </w:p>
        </w:tc>
      </w:tr>
      <w:tr w:rsidR="00BA5D22" w:rsidRPr="006F4B64" w14:paraId="6D777E61" w14:textId="77777777" w:rsidTr="00683D92">
        <w:trPr>
          <w:trHeight w:val="300"/>
        </w:trPr>
        <w:tc>
          <w:tcPr>
            <w:tcW w:w="1600" w:type="dxa"/>
            <w:tcBorders>
              <w:top w:val="nil"/>
              <w:left w:val="nil"/>
              <w:bottom w:val="nil"/>
              <w:right w:val="nil"/>
            </w:tcBorders>
            <w:shd w:val="clear" w:color="auto" w:fill="auto"/>
            <w:noWrap/>
            <w:vAlign w:val="bottom"/>
            <w:hideMark/>
          </w:tcPr>
          <w:p w14:paraId="1000F83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Řecko</w:t>
            </w:r>
          </w:p>
        </w:tc>
        <w:tc>
          <w:tcPr>
            <w:tcW w:w="960" w:type="dxa"/>
            <w:tcBorders>
              <w:top w:val="nil"/>
              <w:left w:val="nil"/>
              <w:bottom w:val="nil"/>
              <w:right w:val="nil"/>
            </w:tcBorders>
            <w:shd w:val="clear" w:color="auto" w:fill="auto"/>
            <w:noWrap/>
            <w:vAlign w:val="bottom"/>
            <w:hideMark/>
          </w:tcPr>
          <w:p w14:paraId="103F8BE9"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0E71E04"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0.80056</w:t>
            </w:r>
          </w:p>
        </w:tc>
      </w:tr>
      <w:tr w:rsidR="00BA5D22" w:rsidRPr="006F4B64" w14:paraId="2070DBE1" w14:textId="77777777" w:rsidTr="00683D92">
        <w:trPr>
          <w:trHeight w:val="300"/>
        </w:trPr>
        <w:tc>
          <w:tcPr>
            <w:tcW w:w="1600" w:type="dxa"/>
            <w:tcBorders>
              <w:top w:val="nil"/>
              <w:left w:val="nil"/>
              <w:bottom w:val="nil"/>
              <w:right w:val="nil"/>
            </w:tcBorders>
            <w:shd w:val="clear" w:color="auto" w:fill="auto"/>
            <w:noWrap/>
            <w:vAlign w:val="bottom"/>
            <w:hideMark/>
          </w:tcPr>
          <w:p w14:paraId="1C38440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Chorvatsko</w:t>
            </w:r>
          </w:p>
        </w:tc>
        <w:tc>
          <w:tcPr>
            <w:tcW w:w="960" w:type="dxa"/>
            <w:tcBorders>
              <w:top w:val="nil"/>
              <w:left w:val="nil"/>
              <w:bottom w:val="nil"/>
              <w:right w:val="nil"/>
            </w:tcBorders>
            <w:shd w:val="clear" w:color="auto" w:fill="auto"/>
            <w:noWrap/>
            <w:vAlign w:val="bottom"/>
            <w:hideMark/>
          </w:tcPr>
          <w:p w14:paraId="35978775"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345A1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0.813083</w:t>
            </w:r>
          </w:p>
        </w:tc>
      </w:tr>
      <w:tr w:rsidR="00BA5D22" w:rsidRPr="006F4B64" w14:paraId="4658A485" w14:textId="77777777" w:rsidTr="00683D92">
        <w:trPr>
          <w:trHeight w:val="300"/>
        </w:trPr>
        <w:tc>
          <w:tcPr>
            <w:tcW w:w="1600" w:type="dxa"/>
            <w:tcBorders>
              <w:top w:val="nil"/>
              <w:left w:val="nil"/>
              <w:bottom w:val="nil"/>
              <w:right w:val="nil"/>
            </w:tcBorders>
            <w:shd w:val="clear" w:color="auto" w:fill="auto"/>
            <w:noWrap/>
            <w:vAlign w:val="bottom"/>
            <w:hideMark/>
          </w:tcPr>
          <w:p w14:paraId="24B0111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Lotyšsko</w:t>
            </w:r>
          </w:p>
        </w:tc>
        <w:tc>
          <w:tcPr>
            <w:tcW w:w="960" w:type="dxa"/>
            <w:tcBorders>
              <w:top w:val="nil"/>
              <w:left w:val="nil"/>
              <w:bottom w:val="nil"/>
              <w:right w:val="nil"/>
            </w:tcBorders>
            <w:shd w:val="clear" w:color="auto" w:fill="auto"/>
            <w:noWrap/>
            <w:vAlign w:val="bottom"/>
            <w:hideMark/>
          </w:tcPr>
          <w:p w14:paraId="118B9A3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3A7C5B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0.816073</w:t>
            </w:r>
          </w:p>
        </w:tc>
      </w:tr>
      <w:tr w:rsidR="00BA5D22" w:rsidRPr="006F4B64" w14:paraId="02C3B278" w14:textId="77777777" w:rsidTr="00683D92">
        <w:trPr>
          <w:trHeight w:val="300"/>
        </w:trPr>
        <w:tc>
          <w:tcPr>
            <w:tcW w:w="1600" w:type="dxa"/>
            <w:tcBorders>
              <w:top w:val="nil"/>
              <w:left w:val="nil"/>
              <w:bottom w:val="nil"/>
              <w:right w:val="nil"/>
            </w:tcBorders>
            <w:shd w:val="clear" w:color="auto" w:fill="auto"/>
            <w:noWrap/>
            <w:vAlign w:val="bottom"/>
            <w:hideMark/>
          </w:tcPr>
          <w:p w14:paraId="51AC4E2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Dánsko</w:t>
            </w:r>
          </w:p>
        </w:tc>
        <w:tc>
          <w:tcPr>
            <w:tcW w:w="960" w:type="dxa"/>
            <w:tcBorders>
              <w:top w:val="nil"/>
              <w:left w:val="nil"/>
              <w:bottom w:val="nil"/>
              <w:right w:val="nil"/>
            </w:tcBorders>
            <w:shd w:val="clear" w:color="auto" w:fill="auto"/>
            <w:noWrap/>
            <w:vAlign w:val="bottom"/>
            <w:hideMark/>
          </w:tcPr>
          <w:p w14:paraId="5A3EB46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29B16B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0.87166</w:t>
            </w:r>
          </w:p>
        </w:tc>
      </w:tr>
      <w:tr w:rsidR="00BA5D22" w:rsidRPr="006F4B64" w14:paraId="68833C70" w14:textId="77777777" w:rsidTr="00683D92">
        <w:trPr>
          <w:trHeight w:val="300"/>
        </w:trPr>
        <w:tc>
          <w:tcPr>
            <w:tcW w:w="1600" w:type="dxa"/>
            <w:tcBorders>
              <w:top w:val="nil"/>
              <w:left w:val="nil"/>
              <w:bottom w:val="nil"/>
              <w:right w:val="nil"/>
            </w:tcBorders>
            <w:shd w:val="clear" w:color="auto" w:fill="auto"/>
            <w:noWrap/>
            <w:vAlign w:val="bottom"/>
            <w:hideMark/>
          </w:tcPr>
          <w:p w14:paraId="28A2515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Portugalsko</w:t>
            </w:r>
          </w:p>
        </w:tc>
        <w:tc>
          <w:tcPr>
            <w:tcW w:w="960" w:type="dxa"/>
            <w:tcBorders>
              <w:top w:val="nil"/>
              <w:left w:val="nil"/>
              <w:bottom w:val="nil"/>
              <w:right w:val="nil"/>
            </w:tcBorders>
            <w:shd w:val="clear" w:color="auto" w:fill="auto"/>
            <w:noWrap/>
            <w:vAlign w:val="bottom"/>
            <w:hideMark/>
          </w:tcPr>
          <w:p w14:paraId="7617C688"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928424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0.881338</w:t>
            </w:r>
          </w:p>
        </w:tc>
      </w:tr>
      <w:tr w:rsidR="00BA5D22" w:rsidRPr="006F4B64" w14:paraId="59B28A73" w14:textId="77777777" w:rsidTr="00683D92">
        <w:trPr>
          <w:trHeight w:val="300"/>
        </w:trPr>
        <w:tc>
          <w:tcPr>
            <w:tcW w:w="1600" w:type="dxa"/>
            <w:tcBorders>
              <w:top w:val="nil"/>
              <w:left w:val="nil"/>
              <w:bottom w:val="nil"/>
              <w:right w:val="nil"/>
            </w:tcBorders>
            <w:shd w:val="clear" w:color="auto" w:fill="auto"/>
            <w:noWrap/>
            <w:vAlign w:val="bottom"/>
            <w:hideMark/>
          </w:tcPr>
          <w:p w14:paraId="0DB279B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Belgie</w:t>
            </w:r>
          </w:p>
        </w:tc>
        <w:tc>
          <w:tcPr>
            <w:tcW w:w="960" w:type="dxa"/>
            <w:tcBorders>
              <w:top w:val="nil"/>
              <w:left w:val="nil"/>
              <w:bottom w:val="nil"/>
              <w:right w:val="nil"/>
            </w:tcBorders>
            <w:shd w:val="clear" w:color="auto" w:fill="auto"/>
            <w:noWrap/>
            <w:vAlign w:val="bottom"/>
            <w:hideMark/>
          </w:tcPr>
          <w:p w14:paraId="12F34F7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B3BA19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0.889239</w:t>
            </w:r>
          </w:p>
        </w:tc>
      </w:tr>
      <w:tr w:rsidR="00BA5D22" w:rsidRPr="006F4B64" w14:paraId="1C4E8D06" w14:textId="77777777" w:rsidTr="00683D92">
        <w:trPr>
          <w:trHeight w:val="300"/>
        </w:trPr>
        <w:tc>
          <w:tcPr>
            <w:tcW w:w="1600" w:type="dxa"/>
            <w:tcBorders>
              <w:top w:val="nil"/>
              <w:left w:val="nil"/>
              <w:bottom w:val="nil"/>
              <w:right w:val="nil"/>
            </w:tcBorders>
            <w:shd w:val="clear" w:color="auto" w:fill="auto"/>
            <w:noWrap/>
            <w:vAlign w:val="bottom"/>
            <w:hideMark/>
          </w:tcPr>
          <w:p w14:paraId="317635E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Itálie</w:t>
            </w:r>
          </w:p>
        </w:tc>
        <w:tc>
          <w:tcPr>
            <w:tcW w:w="960" w:type="dxa"/>
            <w:tcBorders>
              <w:top w:val="nil"/>
              <w:left w:val="nil"/>
              <w:bottom w:val="nil"/>
              <w:right w:val="nil"/>
            </w:tcBorders>
            <w:shd w:val="clear" w:color="auto" w:fill="auto"/>
            <w:noWrap/>
            <w:vAlign w:val="bottom"/>
            <w:hideMark/>
          </w:tcPr>
          <w:p w14:paraId="1EFE5D0C"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F445A72"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0.895435</w:t>
            </w:r>
          </w:p>
        </w:tc>
      </w:tr>
      <w:tr w:rsidR="00BA5D22" w:rsidRPr="006F4B64" w14:paraId="4263F623" w14:textId="77777777" w:rsidTr="00683D92">
        <w:trPr>
          <w:trHeight w:val="300"/>
        </w:trPr>
        <w:tc>
          <w:tcPr>
            <w:tcW w:w="1600" w:type="dxa"/>
            <w:tcBorders>
              <w:top w:val="nil"/>
              <w:left w:val="nil"/>
              <w:bottom w:val="nil"/>
              <w:right w:val="nil"/>
            </w:tcBorders>
            <w:shd w:val="clear" w:color="auto" w:fill="auto"/>
            <w:noWrap/>
            <w:vAlign w:val="bottom"/>
            <w:hideMark/>
          </w:tcPr>
          <w:p w14:paraId="0C84EF3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Irsko</w:t>
            </w:r>
          </w:p>
        </w:tc>
        <w:tc>
          <w:tcPr>
            <w:tcW w:w="960" w:type="dxa"/>
            <w:tcBorders>
              <w:top w:val="nil"/>
              <w:left w:val="nil"/>
              <w:bottom w:val="nil"/>
              <w:right w:val="nil"/>
            </w:tcBorders>
            <w:shd w:val="clear" w:color="auto" w:fill="auto"/>
            <w:noWrap/>
            <w:vAlign w:val="bottom"/>
            <w:hideMark/>
          </w:tcPr>
          <w:p w14:paraId="62D9776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BC7931F"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0.907946</w:t>
            </w:r>
          </w:p>
        </w:tc>
      </w:tr>
      <w:tr w:rsidR="00BA5D22" w:rsidRPr="006F4B64" w14:paraId="502BA8E4" w14:textId="77777777" w:rsidTr="00683D92">
        <w:trPr>
          <w:trHeight w:val="300"/>
        </w:trPr>
        <w:tc>
          <w:tcPr>
            <w:tcW w:w="1600" w:type="dxa"/>
            <w:tcBorders>
              <w:top w:val="nil"/>
              <w:left w:val="nil"/>
              <w:bottom w:val="nil"/>
              <w:right w:val="nil"/>
            </w:tcBorders>
            <w:shd w:val="clear" w:color="auto" w:fill="auto"/>
            <w:noWrap/>
            <w:vAlign w:val="bottom"/>
            <w:hideMark/>
          </w:tcPr>
          <w:p w14:paraId="0FE6697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Francie</w:t>
            </w:r>
          </w:p>
        </w:tc>
        <w:tc>
          <w:tcPr>
            <w:tcW w:w="960" w:type="dxa"/>
            <w:tcBorders>
              <w:top w:val="nil"/>
              <w:left w:val="nil"/>
              <w:bottom w:val="nil"/>
              <w:right w:val="nil"/>
            </w:tcBorders>
            <w:shd w:val="clear" w:color="auto" w:fill="auto"/>
            <w:noWrap/>
            <w:vAlign w:val="bottom"/>
            <w:hideMark/>
          </w:tcPr>
          <w:p w14:paraId="1567EDE5"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F1E1580"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0.923417</w:t>
            </w:r>
          </w:p>
        </w:tc>
      </w:tr>
      <w:tr w:rsidR="00BA5D22" w:rsidRPr="006F4B64" w14:paraId="7BB683A8" w14:textId="77777777" w:rsidTr="00683D92">
        <w:trPr>
          <w:trHeight w:val="300"/>
        </w:trPr>
        <w:tc>
          <w:tcPr>
            <w:tcW w:w="1600" w:type="dxa"/>
            <w:tcBorders>
              <w:top w:val="nil"/>
              <w:left w:val="nil"/>
              <w:bottom w:val="nil"/>
              <w:right w:val="nil"/>
            </w:tcBorders>
            <w:shd w:val="clear" w:color="auto" w:fill="auto"/>
            <w:noWrap/>
            <w:vAlign w:val="bottom"/>
            <w:hideMark/>
          </w:tcPr>
          <w:p w14:paraId="35FB010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Švédsko</w:t>
            </w:r>
          </w:p>
        </w:tc>
        <w:tc>
          <w:tcPr>
            <w:tcW w:w="960" w:type="dxa"/>
            <w:tcBorders>
              <w:top w:val="nil"/>
              <w:left w:val="nil"/>
              <w:bottom w:val="nil"/>
              <w:right w:val="nil"/>
            </w:tcBorders>
            <w:shd w:val="clear" w:color="auto" w:fill="auto"/>
            <w:noWrap/>
            <w:vAlign w:val="bottom"/>
            <w:hideMark/>
          </w:tcPr>
          <w:p w14:paraId="796441D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63EA11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0.942286</w:t>
            </w:r>
          </w:p>
        </w:tc>
      </w:tr>
      <w:tr w:rsidR="00BA5D22" w:rsidRPr="006F4B64" w14:paraId="7041CBDE" w14:textId="77777777" w:rsidTr="00683D92">
        <w:trPr>
          <w:trHeight w:val="300"/>
        </w:trPr>
        <w:tc>
          <w:tcPr>
            <w:tcW w:w="1600" w:type="dxa"/>
            <w:tcBorders>
              <w:top w:val="nil"/>
              <w:left w:val="nil"/>
              <w:bottom w:val="nil"/>
              <w:right w:val="nil"/>
            </w:tcBorders>
            <w:shd w:val="clear" w:color="auto" w:fill="auto"/>
            <w:noWrap/>
            <w:vAlign w:val="bottom"/>
            <w:hideMark/>
          </w:tcPr>
          <w:p w14:paraId="23E5CCD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Bulharsko</w:t>
            </w:r>
          </w:p>
        </w:tc>
        <w:tc>
          <w:tcPr>
            <w:tcW w:w="960" w:type="dxa"/>
            <w:tcBorders>
              <w:top w:val="nil"/>
              <w:left w:val="nil"/>
              <w:bottom w:val="nil"/>
              <w:right w:val="nil"/>
            </w:tcBorders>
            <w:shd w:val="clear" w:color="auto" w:fill="auto"/>
            <w:noWrap/>
            <w:vAlign w:val="bottom"/>
            <w:hideMark/>
          </w:tcPr>
          <w:p w14:paraId="41F094BF"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5873D2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0.943201</w:t>
            </w:r>
          </w:p>
        </w:tc>
      </w:tr>
      <w:tr w:rsidR="00BA5D22" w:rsidRPr="006F4B64" w14:paraId="1B8BF8CC" w14:textId="77777777" w:rsidTr="00683D92">
        <w:trPr>
          <w:trHeight w:val="300"/>
        </w:trPr>
        <w:tc>
          <w:tcPr>
            <w:tcW w:w="1600" w:type="dxa"/>
            <w:tcBorders>
              <w:top w:val="nil"/>
              <w:left w:val="nil"/>
              <w:bottom w:val="nil"/>
              <w:right w:val="nil"/>
            </w:tcBorders>
            <w:shd w:val="clear" w:color="auto" w:fill="auto"/>
            <w:noWrap/>
            <w:vAlign w:val="bottom"/>
            <w:hideMark/>
          </w:tcPr>
          <w:p w14:paraId="27370786"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Nizozemsko</w:t>
            </w:r>
          </w:p>
        </w:tc>
        <w:tc>
          <w:tcPr>
            <w:tcW w:w="960" w:type="dxa"/>
            <w:tcBorders>
              <w:top w:val="nil"/>
              <w:left w:val="nil"/>
              <w:bottom w:val="nil"/>
              <w:right w:val="nil"/>
            </w:tcBorders>
            <w:shd w:val="clear" w:color="auto" w:fill="auto"/>
            <w:noWrap/>
            <w:vAlign w:val="bottom"/>
            <w:hideMark/>
          </w:tcPr>
          <w:p w14:paraId="05286D89"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AFEC9AD"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0.944351</w:t>
            </w:r>
          </w:p>
        </w:tc>
      </w:tr>
      <w:tr w:rsidR="00BA5D22" w:rsidRPr="006F4B64" w14:paraId="43F02DB9" w14:textId="77777777" w:rsidTr="00683D92">
        <w:trPr>
          <w:trHeight w:val="300"/>
        </w:trPr>
        <w:tc>
          <w:tcPr>
            <w:tcW w:w="1600" w:type="dxa"/>
            <w:tcBorders>
              <w:top w:val="nil"/>
              <w:left w:val="nil"/>
              <w:bottom w:val="nil"/>
              <w:right w:val="nil"/>
            </w:tcBorders>
            <w:shd w:val="clear" w:color="auto" w:fill="auto"/>
            <w:noWrap/>
            <w:vAlign w:val="bottom"/>
            <w:hideMark/>
          </w:tcPr>
          <w:p w14:paraId="63D462D4"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Finsko</w:t>
            </w:r>
          </w:p>
        </w:tc>
        <w:tc>
          <w:tcPr>
            <w:tcW w:w="960" w:type="dxa"/>
            <w:tcBorders>
              <w:top w:val="nil"/>
              <w:left w:val="nil"/>
              <w:bottom w:val="nil"/>
              <w:right w:val="nil"/>
            </w:tcBorders>
            <w:shd w:val="clear" w:color="auto" w:fill="auto"/>
            <w:noWrap/>
            <w:vAlign w:val="bottom"/>
            <w:hideMark/>
          </w:tcPr>
          <w:p w14:paraId="65E04C1C"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8D4B9F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1.006917</w:t>
            </w:r>
          </w:p>
        </w:tc>
      </w:tr>
      <w:tr w:rsidR="00BA5D22" w:rsidRPr="006F4B64" w14:paraId="6A866D53" w14:textId="77777777" w:rsidTr="00683D92">
        <w:trPr>
          <w:trHeight w:val="300"/>
        </w:trPr>
        <w:tc>
          <w:tcPr>
            <w:tcW w:w="1600" w:type="dxa"/>
            <w:tcBorders>
              <w:top w:val="nil"/>
              <w:left w:val="nil"/>
              <w:bottom w:val="nil"/>
              <w:right w:val="nil"/>
            </w:tcBorders>
            <w:shd w:val="clear" w:color="auto" w:fill="auto"/>
            <w:noWrap/>
            <w:vAlign w:val="bottom"/>
            <w:hideMark/>
          </w:tcPr>
          <w:p w14:paraId="7016F3FC"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Rakousko</w:t>
            </w:r>
          </w:p>
        </w:tc>
        <w:tc>
          <w:tcPr>
            <w:tcW w:w="960" w:type="dxa"/>
            <w:tcBorders>
              <w:top w:val="nil"/>
              <w:left w:val="nil"/>
              <w:bottom w:val="nil"/>
              <w:right w:val="nil"/>
            </w:tcBorders>
            <w:shd w:val="clear" w:color="auto" w:fill="auto"/>
            <w:noWrap/>
            <w:vAlign w:val="bottom"/>
            <w:hideMark/>
          </w:tcPr>
          <w:p w14:paraId="3B9B0C5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63496B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1.014561</w:t>
            </w:r>
          </w:p>
        </w:tc>
      </w:tr>
      <w:tr w:rsidR="00BA5D22" w:rsidRPr="006F4B64" w14:paraId="2526D851" w14:textId="77777777" w:rsidTr="00683D92">
        <w:trPr>
          <w:trHeight w:val="300"/>
        </w:trPr>
        <w:tc>
          <w:tcPr>
            <w:tcW w:w="1600" w:type="dxa"/>
            <w:tcBorders>
              <w:top w:val="nil"/>
              <w:left w:val="nil"/>
              <w:bottom w:val="nil"/>
              <w:right w:val="nil"/>
            </w:tcBorders>
            <w:shd w:val="clear" w:color="auto" w:fill="auto"/>
            <w:noWrap/>
            <w:vAlign w:val="bottom"/>
            <w:hideMark/>
          </w:tcPr>
          <w:p w14:paraId="421D059C"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 xml:space="preserve">Německo </w:t>
            </w:r>
          </w:p>
        </w:tc>
        <w:tc>
          <w:tcPr>
            <w:tcW w:w="960" w:type="dxa"/>
            <w:tcBorders>
              <w:top w:val="nil"/>
              <w:left w:val="nil"/>
              <w:bottom w:val="nil"/>
              <w:right w:val="nil"/>
            </w:tcBorders>
            <w:shd w:val="clear" w:color="auto" w:fill="auto"/>
            <w:noWrap/>
            <w:vAlign w:val="bottom"/>
            <w:hideMark/>
          </w:tcPr>
          <w:p w14:paraId="6E6D003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6AD65C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1.015958</w:t>
            </w:r>
          </w:p>
        </w:tc>
      </w:tr>
      <w:tr w:rsidR="00BA5D22" w:rsidRPr="006F4B64" w14:paraId="5A461815" w14:textId="77777777" w:rsidTr="00683D92">
        <w:trPr>
          <w:trHeight w:val="300"/>
        </w:trPr>
        <w:tc>
          <w:tcPr>
            <w:tcW w:w="1600" w:type="dxa"/>
            <w:tcBorders>
              <w:top w:val="nil"/>
              <w:left w:val="nil"/>
              <w:bottom w:val="nil"/>
              <w:right w:val="nil"/>
            </w:tcBorders>
            <w:shd w:val="clear" w:color="auto" w:fill="auto"/>
            <w:noWrap/>
            <w:vAlign w:val="bottom"/>
            <w:hideMark/>
          </w:tcPr>
          <w:p w14:paraId="5E455E69"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Slovinsko</w:t>
            </w:r>
          </w:p>
        </w:tc>
        <w:tc>
          <w:tcPr>
            <w:tcW w:w="960" w:type="dxa"/>
            <w:tcBorders>
              <w:top w:val="nil"/>
              <w:left w:val="nil"/>
              <w:bottom w:val="nil"/>
              <w:right w:val="nil"/>
            </w:tcBorders>
            <w:shd w:val="clear" w:color="auto" w:fill="auto"/>
            <w:noWrap/>
            <w:vAlign w:val="bottom"/>
            <w:hideMark/>
          </w:tcPr>
          <w:p w14:paraId="2643CAD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C8AA9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1.021391</w:t>
            </w:r>
          </w:p>
        </w:tc>
      </w:tr>
      <w:tr w:rsidR="00BA5D22" w:rsidRPr="006F4B64" w14:paraId="1D25C271" w14:textId="77777777" w:rsidTr="00683D92">
        <w:trPr>
          <w:trHeight w:val="300"/>
        </w:trPr>
        <w:tc>
          <w:tcPr>
            <w:tcW w:w="1600" w:type="dxa"/>
            <w:tcBorders>
              <w:top w:val="nil"/>
              <w:left w:val="nil"/>
              <w:bottom w:val="nil"/>
              <w:right w:val="nil"/>
            </w:tcBorders>
            <w:shd w:val="clear" w:color="auto" w:fill="auto"/>
            <w:noWrap/>
            <w:vAlign w:val="bottom"/>
            <w:hideMark/>
          </w:tcPr>
          <w:p w14:paraId="4E16CFA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Estonsko</w:t>
            </w:r>
          </w:p>
        </w:tc>
        <w:tc>
          <w:tcPr>
            <w:tcW w:w="960" w:type="dxa"/>
            <w:tcBorders>
              <w:top w:val="nil"/>
              <w:left w:val="nil"/>
              <w:bottom w:val="nil"/>
              <w:right w:val="nil"/>
            </w:tcBorders>
            <w:shd w:val="clear" w:color="auto" w:fill="auto"/>
            <w:noWrap/>
            <w:vAlign w:val="bottom"/>
            <w:hideMark/>
          </w:tcPr>
          <w:p w14:paraId="5C29BE7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87DCCC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1.076083</w:t>
            </w:r>
          </w:p>
        </w:tc>
      </w:tr>
      <w:tr w:rsidR="00BA5D22" w:rsidRPr="006F4B64" w14:paraId="6D327069" w14:textId="77777777" w:rsidTr="00683D92">
        <w:trPr>
          <w:trHeight w:val="300"/>
        </w:trPr>
        <w:tc>
          <w:tcPr>
            <w:tcW w:w="1600" w:type="dxa"/>
            <w:tcBorders>
              <w:top w:val="nil"/>
              <w:left w:val="nil"/>
              <w:bottom w:val="nil"/>
              <w:right w:val="nil"/>
            </w:tcBorders>
            <w:shd w:val="clear" w:color="auto" w:fill="auto"/>
            <w:noWrap/>
            <w:vAlign w:val="bottom"/>
            <w:hideMark/>
          </w:tcPr>
          <w:p w14:paraId="4CA11BD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Maďarsko</w:t>
            </w:r>
          </w:p>
        </w:tc>
        <w:tc>
          <w:tcPr>
            <w:tcW w:w="960" w:type="dxa"/>
            <w:tcBorders>
              <w:top w:val="nil"/>
              <w:left w:val="nil"/>
              <w:bottom w:val="nil"/>
              <w:right w:val="nil"/>
            </w:tcBorders>
            <w:shd w:val="clear" w:color="auto" w:fill="auto"/>
            <w:noWrap/>
            <w:vAlign w:val="bottom"/>
            <w:hideMark/>
          </w:tcPr>
          <w:p w14:paraId="5BB659E1"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DA2E4D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1.080748</w:t>
            </w:r>
          </w:p>
        </w:tc>
      </w:tr>
      <w:tr w:rsidR="00BA5D22" w:rsidRPr="006F4B64" w14:paraId="0B7AD345" w14:textId="77777777" w:rsidTr="00683D92">
        <w:trPr>
          <w:trHeight w:val="300"/>
        </w:trPr>
        <w:tc>
          <w:tcPr>
            <w:tcW w:w="1600" w:type="dxa"/>
            <w:tcBorders>
              <w:top w:val="nil"/>
              <w:left w:val="nil"/>
              <w:bottom w:val="nil"/>
              <w:right w:val="nil"/>
            </w:tcBorders>
            <w:shd w:val="clear" w:color="auto" w:fill="auto"/>
            <w:noWrap/>
            <w:vAlign w:val="bottom"/>
            <w:hideMark/>
          </w:tcPr>
          <w:p w14:paraId="430F57A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Rumunsko</w:t>
            </w:r>
          </w:p>
        </w:tc>
        <w:tc>
          <w:tcPr>
            <w:tcW w:w="960" w:type="dxa"/>
            <w:tcBorders>
              <w:top w:val="nil"/>
              <w:left w:val="nil"/>
              <w:bottom w:val="nil"/>
              <w:right w:val="nil"/>
            </w:tcBorders>
            <w:shd w:val="clear" w:color="auto" w:fill="auto"/>
            <w:noWrap/>
            <w:vAlign w:val="bottom"/>
            <w:hideMark/>
          </w:tcPr>
          <w:p w14:paraId="3EA307C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F6E09C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1.110974</w:t>
            </w:r>
          </w:p>
        </w:tc>
      </w:tr>
      <w:tr w:rsidR="00BA5D22" w:rsidRPr="006F4B64" w14:paraId="1851F02A" w14:textId="77777777" w:rsidTr="00683D92">
        <w:trPr>
          <w:trHeight w:val="300"/>
        </w:trPr>
        <w:tc>
          <w:tcPr>
            <w:tcW w:w="1600" w:type="dxa"/>
            <w:tcBorders>
              <w:top w:val="nil"/>
              <w:left w:val="nil"/>
              <w:bottom w:val="nil"/>
              <w:right w:val="nil"/>
            </w:tcBorders>
            <w:shd w:val="clear" w:color="auto" w:fill="auto"/>
            <w:noWrap/>
            <w:vAlign w:val="bottom"/>
            <w:hideMark/>
          </w:tcPr>
          <w:p w14:paraId="0207B0B9"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Litva</w:t>
            </w:r>
          </w:p>
        </w:tc>
        <w:tc>
          <w:tcPr>
            <w:tcW w:w="960" w:type="dxa"/>
            <w:tcBorders>
              <w:top w:val="nil"/>
              <w:left w:val="nil"/>
              <w:bottom w:val="nil"/>
              <w:right w:val="nil"/>
            </w:tcBorders>
            <w:shd w:val="clear" w:color="auto" w:fill="auto"/>
            <w:noWrap/>
            <w:vAlign w:val="bottom"/>
            <w:hideMark/>
          </w:tcPr>
          <w:p w14:paraId="7C13549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CA10538"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1.171902</w:t>
            </w:r>
          </w:p>
        </w:tc>
      </w:tr>
      <w:tr w:rsidR="00BA5D22" w:rsidRPr="006F4B64" w14:paraId="2CB25275" w14:textId="77777777" w:rsidTr="00683D92">
        <w:trPr>
          <w:trHeight w:val="300"/>
        </w:trPr>
        <w:tc>
          <w:tcPr>
            <w:tcW w:w="1600" w:type="dxa"/>
            <w:tcBorders>
              <w:top w:val="nil"/>
              <w:left w:val="nil"/>
              <w:bottom w:val="nil"/>
              <w:right w:val="nil"/>
            </w:tcBorders>
            <w:shd w:val="clear" w:color="auto" w:fill="auto"/>
            <w:noWrap/>
            <w:vAlign w:val="bottom"/>
            <w:hideMark/>
          </w:tcPr>
          <w:p w14:paraId="1A77454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Česko</w:t>
            </w:r>
          </w:p>
        </w:tc>
        <w:tc>
          <w:tcPr>
            <w:tcW w:w="960" w:type="dxa"/>
            <w:tcBorders>
              <w:top w:val="nil"/>
              <w:left w:val="nil"/>
              <w:bottom w:val="nil"/>
              <w:right w:val="nil"/>
            </w:tcBorders>
            <w:shd w:val="clear" w:color="auto" w:fill="auto"/>
            <w:noWrap/>
            <w:vAlign w:val="bottom"/>
            <w:hideMark/>
          </w:tcPr>
          <w:p w14:paraId="6CA9ED0A"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DF78B93"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1.324328</w:t>
            </w:r>
          </w:p>
        </w:tc>
      </w:tr>
      <w:tr w:rsidR="00BA5D22" w:rsidRPr="006F4B64" w14:paraId="15D3076C" w14:textId="77777777" w:rsidTr="00683D92">
        <w:trPr>
          <w:trHeight w:val="300"/>
        </w:trPr>
        <w:tc>
          <w:tcPr>
            <w:tcW w:w="1600" w:type="dxa"/>
            <w:tcBorders>
              <w:top w:val="nil"/>
              <w:left w:val="nil"/>
              <w:bottom w:val="nil"/>
              <w:right w:val="nil"/>
            </w:tcBorders>
            <w:shd w:val="clear" w:color="auto" w:fill="auto"/>
            <w:noWrap/>
            <w:vAlign w:val="bottom"/>
            <w:hideMark/>
          </w:tcPr>
          <w:p w14:paraId="501213F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Polsko</w:t>
            </w:r>
          </w:p>
        </w:tc>
        <w:tc>
          <w:tcPr>
            <w:tcW w:w="960" w:type="dxa"/>
            <w:tcBorders>
              <w:top w:val="nil"/>
              <w:left w:val="nil"/>
              <w:bottom w:val="nil"/>
              <w:right w:val="nil"/>
            </w:tcBorders>
            <w:shd w:val="clear" w:color="auto" w:fill="auto"/>
            <w:noWrap/>
            <w:vAlign w:val="bottom"/>
            <w:hideMark/>
          </w:tcPr>
          <w:p w14:paraId="6095C7AB"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D19E780"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1.451383</w:t>
            </w:r>
          </w:p>
        </w:tc>
      </w:tr>
      <w:tr w:rsidR="00BA5D22" w:rsidRPr="006F4B64" w14:paraId="0382C0D3" w14:textId="77777777" w:rsidTr="00683D92">
        <w:trPr>
          <w:trHeight w:val="300"/>
        </w:trPr>
        <w:tc>
          <w:tcPr>
            <w:tcW w:w="1600" w:type="dxa"/>
            <w:tcBorders>
              <w:top w:val="nil"/>
              <w:left w:val="nil"/>
              <w:bottom w:val="nil"/>
              <w:right w:val="nil"/>
            </w:tcBorders>
            <w:shd w:val="clear" w:color="auto" w:fill="auto"/>
            <w:noWrap/>
            <w:vAlign w:val="bottom"/>
            <w:hideMark/>
          </w:tcPr>
          <w:p w14:paraId="5BD07FB1"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Slovensko</w:t>
            </w:r>
          </w:p>
        </w:tc>
        <w:tc>
          <w:tcPr>
            <w:tcW w:w="960" w:type="dxa"/>
            <w:tcBorders>
              <w:top w:val="nil"/>
              <w:left w:val="nil"/>
              <w:bottom w:val="nil"/>
              <w:right w:val="nil"/>
            </w:tcBorders>
            <w:shd w:val="clear" w:color="auto" w:fill="auto"/>
            <w:noWrap/>
            <w:vAlign w:val="bottom"/>
            <w:hideMark/>
          </w:tcPr>
          <w:p w14:paraId="68BF91C0"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8475489"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1.635491</w:t>
            </w:r>
          </w:p>
        </w:tc>
      </w:tr>
    </w:tbl>
    <w:p w14:paraId="4A2C02D8" w14:textId="77777777" w:rsidR="00BA5D22" w:rsidRPr="002A5658" w:rsidRDefault="00BA5D22" w:rsidP="002A5658"/>
    <w:sectPr w:rsidR="00BA5D22" w:rsidRPr="002A56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DEF"/>
    <w:multiLevelType w:val="hybridMultilevel"/>
    <w:tmpl w:val="70EA6468"/>
    <w:lvl w:ilvl="0" w:tplc="95F8F890">
      <w:start w:val="1"/>
      <w:numFmt w:val="decimal"/>
      <w:lvlText w:val="%1."/>
      <w:lvlJc w:val="left"/>
      <w:pPr>
        <w:ind w:left="720" w:hanging="360"/>
      </w:pPr>
      <w:rPr>
        <w:rFonts w:asciiTheme="minorHAnsi" w:eastAsiaTheme="minorHAnsi" w:hAnsiTheme="minorHAnsi" w:cstheme="minorBidi"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14595B"/>
    <w:multiLevelType w:val="hybridMultilevel"/>
    <w:tmpl w:val="94D887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2C4"/>
    <w:rsid w:val="000063D8"/>
    <w:rsid w:val="00011C33"/>
    <w:rsid w:val="00023841"/>
    <w:rsid w:val="000561B9"/>
    <w:rsid w:val="000700B6"/>
    <w:rsid w:val="000809B5"/>
    <w:rsid w:val="00084F74"/>
    <w:rsid w:val="00086DF4"/>
    <w:rsid w:val="000927C0"/>
    <w:rsid w:val="0009563E"/>
    <w:rsid w:val="000A279F"/>
    <w:rsid w:val="000A4D49"/>
    <w:rsid w:val="000A4F25"/>
    <w:rsid w:val="000A5F1C"/>
    <w:rsid w:val="000B08F2"/>
    <w:rsid w:val="000C08C6"/>
    <w:rsid w:val="000C4B4D"/>
    <w:rsid w:val="0011251D"/>
    <w:rsid w:val="00116AC8"/>
    <w:rsid w:val="00123989"/>
    <w:rsid w:val="00142415"/>
    <w:rsid w:val="00147414"/>
    <w:rsid w:val="00174912"/>
    <w:rsid w:val="001C0F34"/>
    <w:rsid w:val="001C4E40"/>
    <w:rsid w:val="001C6DAA"/>
    <w:rsid w:val="001C740C"/>
    <w:rsid w:val="001C7B23"/>
    <w:rsid w:val="001E6C2F"/>
    <w:rsid w:val="001E79D9"/>
    <w:rsid w:val="001F168F"/>
    <w:rsid w:val="00224415"/>
    <w:rsid w:val="00225301"/>
    <w:rsid w:val="0026407D"/>
    <w:rsid w:val="00272854"/>
    <w:rsid w:val="00273E9E"/>
    <w:rsid w:val="00281C82"/>
    <w:rsid w:val="002833BD"/>
    <w:rsid w:val="002839F4"/>
    <w:rsid w:val="002A3B55"/>
    <w:rsid w:val="002A5658"/>
    <w:rsid w:val="003023BE"/>
    <w:rsid w:val="003133BF"/>
    <w:rsid w:val="00315DF1"/>
    <w:rsid w:val="003249BD"/>
    <w:rsid w:val="00334BA5"/>
    <w:rsid w:val="0034046F"/>
    <w:rsid w:val="00340CA5"/>
    <w:rsid w:val="00355C31"/>
    <w:rsid w:val="00357113"/>
    <w:rsid w:val="003578FA"/>
    <w:rsid w:val="0037332D"/>
    <w:rsid w:val="00373400"/>
    <w:rsid w:val="0039476E"/>
    <w:rsid w:val="003C4F1C"/>
    <w:rsid w:val="003C797A"/>
    <w:rsid w:val="003E15D0"/>
    <w:rsid w:val="00412A9E"/>
    <w:rsid w:val="004159DE"/>
    <w:rsid w:val="00423DEC"/>
    <w:rsid w:val="00427993"/>
    <w:rsid w:val="00440F70"/>
    <w:rsid w:val="00446F87"/>
    <w:rsid w:val="0045172A"/>
    <w:rsid w:val="00465141"/>
    <w:rsid w:val="004772EF"/>
    <w:rsid w:val="00477E98"/>
    <w:rsid w:val="004801B8"/>
    <w:rsid w:val="00485549"/>
    <w:rsid w:val="00492F26"/>
    <w:rsid w:val="004967BB"/>
    <w:rsid w:val="004B1C70"/>
    <w:rsid w:val="004D2B20"/>
    <w:rsid w:val="004F7A5C"/>
    <w:rsid w:val="00501E75"/>
    <w:rsid w:val="005120DA"/>
    <w:rsid w:val="005254D1"/>
    <w:rsid w:val="00530334"/>
    <w:rsid w:val="00531922"/>
    <w:rsid w:val="005454A8"/>
    <w:rsid w:val="00563F2F"/>
    <w:rsid w:val="00574E7D"/>
    <w:rsid w:val="00581A14"/>
    <w:rsid w:val="005857D9"/>
    <w:rsid w:val="00590661"/>
    <w:rsid w:val="005A24DB"/>
    <w:rsid w:val="005A3190"/>
    <w:rsid w:val="005B7F0F"/>
    <w:rsid w:val="005C348B"/>
    <w:rsid w:val="0061186C"/>
    <w:rsid w:val="006265C0"/>
    <w:rsid w:val="00636C9C"/>
    <w:rsid w:val="00644712"/>
    <w:rsid w:val="00647BDA"/>
    <w:rsid w:val="006512C9"/>
    <w:rsid w:val="00683D92"/>
    <w:rsid w:val="00690846"/>
    <w:rsid w:val="006A4851"/>
    <w:rsid w:val="006B10E7"/>
    <w:rsid w:val="006E183D"/>
    <w:rsid w:val="006E6C67"/>
    <w:rsid w:val="006F246D"/>
    <w:rsid w:val="006F3BA6"/>
    <w:rsid w:val="006F4B64"/>
    <w:rsid w:val="006F7DCE"/>
    <w:rsid w:val="006F7F72"/>
    <w:rsid w:val="0070257C"/>
    <w:rsid w:val="00705405"/>
    <w:rsid w:val="0072770B"/>
    <w:rsid w:val="00745691"/>
    <w:rsid w:val="00753B30"/>
    <w:rsid w:val="0075518B"/>
    <w:rsid w:val="00780F58"/>
    <w:rsid w:val="00790042"/>
    <w:rsid w:val="007A563E"/>
    <w:rsid w:val="007C1AD9"/>
    <w:rsid w:val="007D0360"/>
    <w:rsid w:val="007D1E22"/>
    <w:rsid w:val="007D71AC"/>
    <w:rsid w:val="007E0982"/>
    <w:rsid w:val="007F1F13"/>
    <w:rsid w:val="008029CE"/>
    <w:rsid w:val="00810C3B"/>
    <w:rsid w:val="00811B56"/>
    <w:rsid w:val="00863139"/>
    <w:rsid w:val="00866157"/>
    <w:rsid w:val="00880F8E"/>
    <w:rsid w:val="008811C6"/>
    <w:rsid w:val="00885DD8"/>
    <w:rsid w:val="008A1CA0"/>
    <w:rsid w:val="008C58B4"/>
    <w:rsid w:val="008E6267"/>
    <w:rsid w:val="008E7014"/>
    <w:rsid w:val="0090528A"/>
    <w:rsid w:val="0090718B"/>
    <w:rsid w:val="00914C7D"/>
    <w:rsid w:val="00916215"/>
    <w:rsid w:val="00924209"/>
    <w:rsid w:val="00926012"/>
    <w:rsid w:val="00972812"/>
    <w:rsid w:val="009835E9"/>
    <w:rsid w:val="00993780"/>
    <w:rsid w:val="009948F3"/>
    <w:rsid w:val="0099529A"/>
    <w:rsid w:val="009A4C50"/>
    <w:rsid w:val="009A4F20"/>
    <w:rsid w:val="009B2AFB"/>
    <w:rsid w:val="009B702E"/>
    <w:rsid w:val="009D7FFA"/>
    <w:rsid w:val="009F5E15"/>
    <w:rsid w:val="009F7284"/>
    <w:rsid w:val="00A213C7"/>
    <w:rsid w:val="00A23A3C"/>
    <w:rsid w:val="00A277FF"/>
    <w:rsid w:val="00A5311A"/>
    <w:rsid w:val="00A544F5"/>
    <w:rsid w:val="00A579DD"/>
    <w:rsid w:val="00A9136F"/>
    <w:rsid w:val="00A978F0"/>
    <w:rsid w:val="00AB18CC"/>
    <w:rsid w:val="00AB39E4"/>
    <w:rsid w:val="00B1264B"/>
    <w:rsid w:val="00B12967"/>
    <w:rsid w:val="00B13295"/>
    <w:rsid w:val="00B16D1A"/>
    <w:rsid w:val="00B21E23"/>
    <w:rsid w:val="00B220EA"/>
    <w:rsid w:val="00B240F6"/>
    <w:rsid w:val="00B44D32"/>
    <w:rsid w:val="00B46D4C"/>
    <w:rsid w:val="00B67022"/>
    <w:rsid w:val="00B82049"/>
    <w:rsid w:val="00B840FB"/>
    <w:rsid w:val="00BA0421"/>
    <w:rsid w:val="00BA0A3F"/>
    <w:rsid w:val="00BA5D22"/>
    <w:rsid w:val="00BB5054"/>
    <w:rsid w:val="00BD17D9"/>
    <w:rsid w:val="00BE675D"/>
    <w:rsid w:val="00C0526D"/>
    <w:rsid w:val="00C270FD"/>
    <w:rsid w:val="00C33E10"/>
    <w:rsid w:val="00C463CC"/>
    <w:rsid w:val="00C51400"/>
    <w:rsid w:val="00C63C51"/>
    <w:rsid w:val="00C80817"/>
    <w:rsid w:val="00C84BDA"/>
    <w:rsid w:val="00C8692A"/>
    <w:rsid w:val="00C94279"/>
    <w:rsid w:val="00CB7231"/>
    <w:rsid w:val="00CD5AC9"/>
    <w:rsid w:val="00CF4F41"/>
    <w:rsid w:val="00CF5C34"/>
    <w:rsid w:val="00CF73C5"/>
    <w:rsid w:val="00D141DF"/>
    <w:rsid w:val="00D1752F"/>
    <w:rsid w:val="00D277E1"/>
    <w:rsid w:val="00D45206"/>
    <w:rsid w:val="00D47D98"/>
    <w:rsid w:val="00D66781"/>
    <w:rsid w:val="00D742C4"/>
    <w:rsid w:val="00D75EF1"/>
    <w:rsid w:val="00D92761"/>
    <w:rsid w:val="00DC4776"/>
    <w:rsid w:val="00DD7ADB"/>
    <w:rsid w:val="00DE2488"/>
    <w:rsid w:val="00DF4992"/>
    <w:rsid w:val="00E504D4"/>
    <w:rsid w:val="00E5252D"/>
    <w:rsid w:val="00E77C9D"/>
    <w:rsid w:val="00E86FE6"/>
    <w:rsid w:val="00E92D9A"/>
    <w:rsid w:val="00E92E8B"/>
    <w:rsid w:val="00E93CAA"/>
    <w:rsid w:val="00E94288"/>
    <w:rsid w:val="00E97031"/>
    <w:rsid w:val="00EA6469"/>
    <w:rsid w:val="00EA705A"/>
    <w:rsid w:val="00EA77BF"/>
    <w:rsid w:val="00EE74C3"/>
    <w:rsid w:val="00EF1091"/>
    <w:rsid w:val="00EF75CF"/>
    <w:rsid w:val="00F27CFC"/>
    <w:rsid w:val="00F512BC"/>
    <w:rsid w:val="00F81027"/>
    <w:rsid w:val="00FA088A"/>
    <w:rsid w:val="00FA693F"/>
    <w:rsid w:val="00FA7E1A"/>
    <w:rsid w:val="00FB17FE"/>
    <w:rsid w:val="00FB5C7A"/>
    <w:rsid w:val="00FC1F31"/>
    <w:rsid w:val="00FC26F5"/>
    <w:rsid w:val="00FD1A4A"/>
    <w:rsid w:val="00FE4526"/>
    <w:rsid w:val="00FE54D4"/>
    <w:rsid w:val="00FF259A"/>
    <w:rsid w:val="00FF7E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1FF5A19"/>
  <w15:chartTrackingRefBased/>
  <w15:docId w15:val="{871C83F8-9841-4228-A484-5441D55E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A4F25"/>
    <w:pPr>
      <w:spacing w:line="256" w:lineRule="auto"/>
    </w:pPr>
  </w:style>
  <w:style w:type="paragraph" w:styleId="Nadpis2">
    <w:name w:val="heading 2"/>
    <w:basedOn w:val="Normln"/>
    <w:link w:val="Nadpis2Char"/>
    <w:uiPriority w:val="9"/>
    <w:qFormat/>
    <w:rsid w:val="002728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970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7031"/>
    <w:rPr>
      <w:rFonts w:ascii="Segoe UI" w:hAnsi="Segoe UI" w:cs="Segoe UI"/>
      <w:sz w:val="18"/>
      <w:szCs w:val="18"/>
    </w:rPr>
  </w:style>
  <w:style w:type="character" w:customStyle="1" w:styleId="bp3-popover-target">
    <w:name w:val="bp3-popover-target"/>
    <w:basedOn w:val="Standardnpsmoodstavce"/>
    <w:rsid w:val="00EF1091"/>
  </w:style>
  <w:style w:type="character" w:styleId="Hypertextovodkaz">
    <w:name w:val="Hyperlink"/>
    <w:basedOn w:val="Standardnpsmoodstavce"/>
    <w:uiPriority w:val="99"/>
    <w:semiHidden/>
    <w:unhideWhenUsed/>
    <w:rsid w:val="00EF1091"/>
    <w:rPr>
      <w:color w:val="0000FF"/>
      <w:u w:val="single"/>
    </w:rPr>
  </w:style>
  <w:style w:type="paragraph" w:styleId="Odstavecseseznamem">
    <w:name w:val="List Paragraph"/>
    <w:basedOn w:val="Normln"/>
    <w:uiPriority w:val="34"/>
    <w:qFormat/>
    <w:rsid w:val="00C94279"/>
    <w:pPr>
      <w:spacing w:line="259" w:lineRule="auto"/>
      <w:ind w:left="720"/>
      <w:contextualSpacing/>
    </w:pPr>
  </w:style>
  <w:style w:type="table" w:styleId="Tmavtabulkasmkou5zvraznn1">
    <w:name w:val="Grid Table 5 Dark Accent 1"/>
    <w:basedOn w:val="Normlntabulka"/>
    <w:uiPriority w:val="50"/>
    <w:rsid w:val="004B1C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ulkasmkou4zvraznn5">
    <w:name w:val="Grid Table 4 Accent 5"/>
    <w:basedOn w:val="Normlntabulka"/>
    <w:uiPriority w:val="49"/>
    <w:rsid w:val="004B1C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
    <w:name w:val="Emphasis"/>
    <w:basedOn w:val="Standardnpsmoodstavce"/>
    <w:uiPriority w:val="20"/>
    <w:qFormat/>
    <w:rsid w:val="001E79D9"/>
    <w:rPr>
      <w:i/>
      <w:iCs/>
    </w:rPr>
  </w:style>
  <w:style w:type="table" w:styleId="Mkatabulky">
    <w:name w:val="Table Grid"/>
    <w:basedOn w:val="Normlntabulka"/>
    <w:uiPriority w:val="39"/>
    <w:rsid w:val="00B2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272854"/>
    <w:rPr>
      <w:rFonts w:ascii="Times New Roman" w:eastAsia="Times New Roman" w:hAnsi="Times New Roman" w:cs="Times New Roman"/>
      <w:b/>
      <w:bCs/>
      <w:sz w:val="36"/>
      <w:szCs w:val="36"/>
      <w:lang w:eastAsia="cs-CZ"/>
    </w:rPr>
  </w:style>
  <w:style w:type="character" w:customStyle="1" w:styleId="jlqj4b">
    <w:name w:val="jlqj4b"/>
    <w:basedOn w:val="Standardnpsmoodstavce"/>
    <w:rsid w:val="00272854"/>
  </w:style>
  <w:style w:type="table" w:styleId="Tabulkasmkou4zvraznn1">
    <w:name w:val="Grid Table 4 Accent 1"/>
    <w:basedOn w:val="Normlntabulka"/>
    <w:uiPriority w:val="49"/>
    <w:rsid w:val="00FF7E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mavtabulkasmkou5zvraznn5">
    <w:name w:val="Grid Table 5 Dark Accent 5"/>
    <w:basedOn w:val="Normlntabulka"/>
    <w:uiPriority w:val="50"/>
    <w:rsid w:val="004279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Svtltabulkasmkou1zvraznn1">
    <w:name w:val="Grid Table 1 Light Accent 1"/>
    <w:basedOn w:val="Normlntabulka"/>
    <w:uiPriority w:val="46"/>
    <w:rsid w:val="002833B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4500">
      <w:bodyDiv w:val="1"/>
      <w:marLeft w:val="0"/>
      <w:marRight w:val="0"/>
      <w:marTop w:val="0"/>
      <w:marBottom w:val="0"/>
      <w:divBdr>
        <w:top w:val="none" w:sz="0" w:space="0" w:color="auto"/>
        <w:left w:val="none" w:sz="0" w:space="0" w:color="auto"/>
        <w:bottom w:val="none" w:sz="0" w:space="0" w:color="auto"/>
        <w:right w:val="none" w:sz="0" w:space="0" w:color="auto"/>
      </w:divBdr>
    </w:div>
    <w:div w:id="100607425">
      <w:bodyDiv w:val="1"/>
      <w:marLeft w:val="0"/>
      <w:marRight w:val="0"/>
      <w:marTop w:val="0"/>
      <w:marBottom w:val="0"/>
      <w:divBdr>
        <w:top w:val="none" w:sz="0" w:space="0" w:color="auto"/>
        <w:left w:val="none" w:sz="0" w:space="0" w:color="auto"/>
        <w:bottom w:val="none" w:sz="0" w:space="0" w:color="auto"/>
        <w:right w:val="none" w:sz="0" w:space="0" w:color="auto"/>
      </w:divBdr>
      <w:divsChild>
        <w:div w:id="710111777">
          <w:marLeft w:val="0"/>
          <w:marRight w:val="0"/>
          <w:marTop w:val="0"/>
          <w:marBottom w:val="0"/>
          <w:divBdr>
            <w:top w:val="none" w:sz="0" w:space="0" w:color="auto"/>
            <w:left w:val="none" w:sz="0" w:space="0" w:color="auto"/>
            <w:bottom w:val="none" w:sz="0" w:space="0" w:color="auto"/>
            <w:right w:val="none" w:sz="0" w:space="0" w:color="auto"/>
          </w:divBdr>
        </w:div>
        <w:div w:id="237250795">
          <w:marLeft w:val="0"/>
          <w:marRight w:val="0"/>
          <w:marTop w:val="0"/>
          <w:marBottom w:val="0"/>
          <w:divBdr>
            <w:top w:val="none" w:sz="0" w:space="0" w:color="auto"/>
            <w:left w:val="none" w:sz="0" w:space="0" w:color="auto"/>
            <w:bottom w:val="none" w:sz="0" w:space="0" w:color="auto"/>
            <w:right w:val="none" w:sz="0" w:space="0" w:color="auto"/>
          </w:divBdr>
        </w:div>
        <w:div w:id="1263606384">
          <w:marLeft w:val="0"/>
          <w:marRight w:val="0"/>
          <w:marTop w:val="0"/>
          <w:marBottom w:val="0"/>
          <w:divBdr>
            <w:top w:val="none" w:sz="0" w:space="0" w:color="auto"/>
            <w:left w:val="none" w:sz="0" w:space="0" w:color="auto"/>
            <w:bottom w:val="none" w:sz="0" w:space="0" w:color="auto"/>
            <w:right w:val="none" w:sz="0" w:space="0" w:color="auto"/>
          </w:divBdr>
        </w:div>
        <w:div w:id="1347488509">
          <w:marLeft w:val="0"/>
          <w:marRight w:val="0"/>
          <w:marTop w:val="0"/>
          <w:marBottom w:val="0"/>
          <w:divBdr>
            <w:top w:val="none" w:sz="0" w:space="0" w:color="auto"/>
            <w:left w:val="none" w:sz="0" w:space="0" w:color="auto"/>
            <w:bottom w:val="none" w:sz="0" w:space="0" w:color="auto"/>
            <w:right w:val="none" w:sz="0" w:space="0" w:color="auto"/>
          </w:divBdr>
        </w:div>
        <w:div w:id="297758235">
          <w:marLeft w:val="0"/>
          <w:marRight w:val="0"/>
          <w:marTop w:val="0"/>
          <w:marBottom w:val="0"/>
          <w:divBdr>
            <w:top w:val="none" w:sz="0" w:space="0" w:color="auto"/>
            <w:left w:val="none" w:sz="0" w:space="0" w:color="auto"/>
            <w:bottom w:val="none" w:sz="0" w:space="0" w:color="auto"/>
            <w:right w:val="none" w:sz="0" w:space="0" w:color="auto"/>
          </w:divBdr>
        </w:div>
        <w:div w:id="1010833473">
          <w:marLeft w:val="0"/>
          <w:marRight w:val="0"/>
          <w:marTop w:val="0"/>
          <w:marBottom w:val="0"/>
          <w:divBdr>
            <w:top w:val="none" w:sz="0" w:space="0" w:color="auto"/>
            <w:left w:val="none" w:sz="0" w:space="0" w:color="auto"/>
            <w:bottom w:val="none" w:sz="0" w:space="0" w:color="auto"/>
            <w:right w:val="none" w:sz="0" w:space="0" w:color="auto"/>
          </w:divBdr>
        </w:div>
      </w:divsChild>
    </w:div>
    <w:div w:id="106317481">
      <w:bodyDiv w:val="1"/>
      <w:marLeft w:val="0"/>
      <w:marRight w:val="0"/>
      <w:marTop w:val="0"/>
      <w:marBottom w:val="0"/>
      <w:divBdr>
        <w:top w:val="none" w:sz="0" w:space="0" w:color="auto"/>
        <w:left w:val="none" w:sz="0" w:space="0" w:color="auto"/>
        <w:bottom w:val="none" w:sz="0" w:space="0" w:color="auto"/>
        <w:right w:val="none" w:sz="0" w:space="0" w:color="auto"/>
      </w:divBdr>
    </w:div>
    <w:div w:id="136339892">
      <w:bodyDiv w:val="1"/>
      <w:marLeft w:val="0"/>
      <w:marRight w:val="0"/>
      <w:marTop w:val="0"/>
      <w:marBottom w:val="0"/>
      <w:divBdr>
        <w:top w:val="none" w:sz="0" w:space="0" w:color="auto"/>
        <w:left w:val="none" w:sz="0" w:space="0" w:color="auto"/>
        <w:bottom w:val="none" w:sz="0" w:space="0" w:color="auto"/>
        <w:right w:val="none" w:sz="0" w:space="0" w:color="auto"/>
      </w:divBdr>
    </w:div>
    <w:div w:id="159002346">
      <w:bodyDiv w:val="1"/>
      <w:marLeft w:val="0"/>
      <w:marRight w:val="0"/>
      <w:marTop w:val="0"/>
      <w:marBottom w:val="0"/>
      <w:divBdr>
        <w:top w:val="none" w:sz="0" w:space="0" w:color="auto"/>
        <w:left w:val="none" w:sz="0" w:space="0" w:color="auto"/>
        <w:bottom w:val="none" w:sz="0" w:space="0" w:color="auto"/>
        <w:right w:val="none" w:sz="0" w:space="0" w:color="auto"/>
      </w:divBdr>
    </w:div>
    <w:div w:id="278221806">
      <w:bodyDiv w:val="1"/>
      <w:marLeft w:val="0"/>
      <w:marRight w:val="0"/>
      <w:marTop w:val="0"/>
      <w:marBottom w:val="0"/>
      <w:divBdr>
        <w:top w:val="none" w:sz="0" w:space="0" w:color="auto"/>
        <w:left w:val="none" w:sz="0" w:space="0" w:color="auto"/>
        <w:bottom w:val="none" w:sz="0" w:space="0" w:color="auto"/>
        <w:right w:val="none" w:sz="0" w:space="0" w:color="auto"/>
      </w:divBdr>
    </w:div>
    <w:div w:id="331375235">
      <w:bodyDiv w:val="1"/>
      <w:marLeft w:val="0"/>
      <w:marRight w:val="0"/>
      <w:marTop w:val="0"/>
      <w:marBottom w:val="0"/>
      <w:divBdr>
        <w:top w:val="none" w:sz="0" w:space="0" w:color="auto"/>
        <w:left w:val="none" w:sz="0" w:space="0" w:color="auto"/>
        <w:bottom w:val="none" w:sz="0" w:space="0" w:color="auto"/>
        <w:right w:val="none" w:sz="0" w:space="0" w:color="auto"/>
      </w:divBdr>
    </w:div>
    <w:div w:id="341903628">
      <w:bodyDiv w:val="1"/>
      <w:marLeft w:val="0"/>
      <w:marRight w:val="0"/>
      <w:marTop w:val="0"/>
      <w:marBottom w:val="0"/>
      <w:divBdr>
        <w:top w:val="none" w:sz="0" w:space="0" w:color="auto"/>
        <w:left w:val="none" w:sz="0" w:space="0" w:color="auto"/>
        <w:bottom w:val="none" w:sz="0" w:space="0" w:color="auto"/>
        <w:right w:val="none" w:sz="0" w:space="0" w:color="auto"/>
      </w:divBdr>
    </w:div>
    <w:div w:id="465782141">
      <w:bodyDiv w:val="1"/>
      <w:marLeft w:val="0"/>
      <w:marRight w:val="0"/>
      <w:marTop w:val="0"/>
      <w:marBottom w:val="0"/>
      <w:divBdr>
        <w:top w:val="none" w:sz="0" w:space="0" w:color="auto"/>
        <w:left w:val="none" w:sz="0" w:space="0" w:color="auto"/>
        <w:bottom w:val="none" w:sz="0" w:space="0" w:color="auto"/>
        <w:right w:val="none" w:sz="0" w:space="0" w:color="auto"/>
      </w:divBdr>
    </w:div>
    <w:div w:id="471216690">
      <w:bodyDiv w:val="1"/>
      <w:marLeft w:val="0"/>
      <w:marRight w:val="0"/>
      <w:marTop w:val="0"/>
      <w:marBottom w:val="0"/>
      <w:divBdr>
        <w:top w:val="none" w:sz="0" w:space="0" w:color="auto"/>
        <w:left w:val="none" w:sz="0" w:space="0" w:color="auto"/>
        <w:bottom w:val="none" w:sz="0" w:space="0" w:color="auto"/>
        <w:right w:val="none" w:sz="0" w:space="0" w:color="auto"/>
      </w:divBdr>
    </w:div>
    <w:div w:id="489561892">
      <w:bodyDiv w:val="1"/>
      <w:marLeft w:val="0"/>
      <w:marRight w:val="0"/>
      <w:marTop w:val="0"/>
      <w:marBottom w:val="0"/>
      <w:divBdr>
        <w:top w:val="none" w:sz="0" w:space="0" w:color="auto"/>
        <w:left w:val="none" w:sz="0" w:space="0" w:color="auto"/>
        <w:bottom w:val="none" w:sz="0" w:space="0" w:color="auto"/>
        <w:right w:val="none" w:sz="0" w:space="0" w:color="auto"/>
      </w:divBdr>
    </w:div>
    <w:div w:id="545996712">
      <w:bodyDiv w:val="1"/>
      <w:marLeft w:val="0"/>
      <w:marRight w:val="0"/>
      <w:marTop w:val="0"/>
      <w:marBottom w:val="0"/>
      <w:divBdr>
        <w:top w:val="none" w:sz="0" w:space="0" w:color="auto"/>
        <w:left w:val="none" w:sz="0" w:space="0" w:color="auto"/>
        <w:bottom w:val="none" w:sz="0" w:space="0" w:color="auto"/>
        <w:right w:val="none" w:sz="0" w:space="0" w:color="auto"/>
      </w:divBdr>
    </w:div>
    <w:div w:id="625239420">
      <w:bodyDiv w:val="1"/>
      <w:marLeft w:val="0"/>
      <w:marRight w:val="0"/>
      <w:marTop w:val="0"/>
      <w:marBottom w:val="0"/>
      <w:divBdr>
        <w:top w:val="none" w:sz="0" w:space="0" w:color="auto"/>
        <w:left w:val="none" w:sz="0" w:space="0" w:color="auto"/>
        <w:bottom w:val="none" w:sz="0" w:space="0" w:color="auto"/>
        <w:right w:val="none" w:sz="0" w:space="0" w:color="auto"/>
      </w:divBdr>
    </w:div>
    <w:div w:id="661591817">
      <w:bodyDiv w:val="1"/>
      <w:marLeft w:val="0"/>
      <w:marRight w:val="0"/>
      <w:marTop w:val="0"/>
      <w:marBottom w:val="0"/>
      <w:divBdr>
        <w:top w:val="none" w:sz="0" w:space="0" w:color="auto"/>
        <w:left w:val="none" w:sz="0" w:space="0" w:color="auto"/>
        <w:bottom w:val="none" w:sz="0" w:space="0" w:color="auto"/>
        <w:right w:val="none" w:sz="0" w:space="0" w:color="auto"/>
      </w:divBdr>
    </w:div>
    <w:div w:id="674764941">
      <w:bodyDiv w:val="1"/>
      <w:marLeft w:val="0"/>
      <w:marRight w:val="0"/>
      <w:marTop w:val="0"/>
      <w:marBottom w:val="0"/>
      <w:divBdr>
        <w:top w:val="none" w:sz="0" w:space="0" w:color="auto"/>
        <w:left w:val="none" w:sz="0" w:space="0" w:color="auto"/>
        <w:bottom w:val="none" w:sz="0" w:space="0" w:color="auto"/>
        <w:right w:val="none" w:sz="0" w:space="0" w:color="auto"/>
      </w:divBdr>
    </w:div>
    <w:div w:id="772213422">
      <w:bodyDiv w:val="1"/>
      <w:marLeft w:val="0"/>
      <w:marRight w:val="0"/>
      <w:marTop w:val="0"/>
      <w:marBottom w:val="0"/>
      <w:divBdr>
        <w:top w:val="none" w:sz="0" w:space="0" w:color="auto"/>
        <w:left w:val="none" w:sz="0" w:space="0" w:color="auto"/>
        <w:bottom w:val="none" w:sz="0" w:space="0" w:color="auto"/>
        <w:right w:val="none" w:sz="0" w:space="0" w:color="auto"/>
      </w:divBdr>
    </w:div>
    <w:div w:id="871842624">
      <w:bodyDiv w:val="1"/>
      <w:marLeft w:val="0"/>
      <w:marRight w:val="0"/>
      <w:marTop w:val="0"/>
      <w:marBottom w:val="0"/>
      <w:divBdr>
        <w:top w:val="none" w:sz="0" w:space="0" w:color="auto"/>
        <w:left w:val="none" w:sz="0" w:space="0" w:color="auto"/>
        <w:bottom w:val="none" w:sz="0" w:space="0" w:color="auto"/>
        <w:right w:val="none" w:sz="0" w:space="0" w:color="auto"/>
      </w:divBdr>
    </w:div>
    <w:div w:id="906384071">
      <w:bodyDiv w:val="1"/>
      <w:marLeft w:val="0"/>
      <w:marRight w:val="0"/>
      <w:marTop w:val="0"/>
      <w:marBottom w:val="0"/>
      <w:divBdr>
        <w:top w:val="none" w:sz="0" w:space="0" w:color="auto"/>
        <w:left w:val="none" w:sz="0" w:space="0" w:color="auto"/>
        <w:bottom w:val="none" w:sz="0" w:space="0" w:color="auto"/>
        <w:right w:val="none" w:sz="0" w:space="0" w:color="auto"/>
      </w:divBdr>
    </w:div>
    <w:div w:id="959268017">
      <w:bodyDiv w:val="1"/>
      <w:marLeft w:val="0"/>
      <w:marRight w:val="0"/>
      <w:marTop w:val="0"/>
      <w:marBottom w:val="0"/>
      <w:divBdr>
        <w:top w:val="none" w:sz="0" w:space="0" w:color="auto"/>
        <w:left w:val="none" w:sz="0" w:space="0" w:color="auto"/>
        <w:bottom w:val="none" w:sz="0" w:space="0" w:color="auto"/>
        <w:right w:val="none" w:sz="0" w:space="0" w:color="auto"/>
      </w:divBdr>
    </w:div>
    <w:div w:id="971668921">
      <w:bodyDiv w:val="1"/>
      <w:marLeft w:val="0"/>
      <w:marRight w:val="0"/>
      <w:marTop w:val="0"/>
      <w:marBottom w:val="0"/>
      <w:divBdr>
        <w:top w:val="none" w:sz="0" w:space="0" w:color="auto"/>
        <w:left w:val="none" w:sz="0" w:space="0" w:color="auto"/>
        <w:bottom w:val="none" w:sz="0" w:space="0" w:color="auto"/>
        <w:right w:val="none" w:sz="0" w:space="0" w:color="auto"/>
      </w:divBdr>
    </w:div>
    <w:div w:id="1018393162">
      <w:bodyDiv w:val="1"/>
      <w:marLeft w:val="0"/>
      <w:marRight w:val="0"/>
      <w:marTop w:val="0"/>
      <w:marBottom w:val="0"/>
      <w:divBdr>
        <w:top w:val="none" w:sz="0" w:space="0" w:color="auto"/>
        <w:left w:val="none" w:sz="0" w:space="0" w:color="auto"/>
        <w:bottom w:val="none" w:sz="0" w:space="0" w:color="auto"/>
        <w:right w:val="none" w:sz="0" w:space="0" w:color="auto"/>
      </w:divBdr>
    </w:div>
    <w:div w:id="1108812962">
      <w:bodyDiv w:val="1"/>
      <w:marLeft w:val="0"/>
      <w:marRight w:val="0"/>
      <w:marTop w:val="0"/>
      <w:marBottom w:val="0"/>
      <w:divBdr>
        <w:top w:val="none" w:sz="0" w:space="0" w:color="auto"/>
        <w:left w:val="none" w:sz="0" w:space="0" w:color="auto"/>
        <w:bottom w:val="none" w:sz="0" w:space="0" w:color="auto"/>
        <w:right w:val="none" w:sz="0" w:space="0" w:color="auto"/>
      </w:divBdr>
    </w:div>
    <w:div w:id="1142503294">
      <w:bodyDiv w:val="1"/>
      <w:marLeft w:val="0"/>
      <w:marRight w:val="0"/>
      <w:marTop w:val="0"/>
      <w:marBottom w:val="0"/>
      <w:divBdr>
        <w:top w:val="none" w:sz="0" w:space="0" w:color="auto"/>
        <w:left w:val="none" w:sz="0" w:space="0" w:color="auto"/>
        <w:bottom w:val="none" w:sz="0" w:space="0" w:color="auto"/>
        <w:right w:val="none" w:sz="0" w:space="0" w:color="auto"/>
      </w:divBdr>
    </w:div>
    <w:div w:id="1186596461">
      <w:bodyDiv w:val="1"/>
      <w:marLeft w:val="0"/>
      <w:marRight w:val="0"/>
      <w:marTop w:val="0"/>
      <w:marBottom w:val="0"/>
      <w:divBdr>
        <w:top w:val="none" w:sz="0" w:space="0" w:color="auto"/>
        <w:left w:val="none" w:sz="0" w:space="0" w:color="auto"/>
        <w:bottom w:val="none" w:sz="0" w:space="0" w:color="auto"/>
        <w:right w:val="none" w:sz="0" w:space="0" w:color="auto"/>
      </w:divBdr>
      <w:divsChild>
        <w:div w:id="450128285">
          <w:marLeft w:val="0"/>
          <w:marRight w:val="0"/>
          <w:marTop w:val="100"/>
          <w:marBottom w:val="0"/>
          <w:divBdr>
            <w:top w:val="none" w:sz="0" w:space="0" w:color="auto"/>
            <w:left w:val="none" w:sz="0" w:space="0" w:color="auto"/>
            <w:bottom w:val="none" w:sz="0" w:space="0" w:color="auto"/>
            <w:right w:val="none" w:sz="0" w:space="0" w:color="auto"/>
          </w:divBdr>
          <w:divsChild>
            <w:div w:id="505487026">
              <w:marLeft w:val="0"/>
              <w:marRight w:val="0"/>
              <w:marTop w:val="60"/>
              <w:marBottom w:val="0"/>
              <w:divBdr>
                <w:top w:val="none" w:sz="0" w:space="0" w:color="auto"/>
                <w:left w:val="none" w:sz="0" w:space="0" w:color="auto"/>
                <w:bottom w:val="none" w:sz="0" w:space="0" w:color="auto"/>
                <w:right w:val="none" w:sz="0" w:space="0" w:color="auto"/>
              </w:divBdr>
            </w:div>
          </w:divsChild>
        </w:div>
        <w:div w:id="2098018316">
          <w:marLeft w:val="0"/>
          <w:marRight w:val="0"/>
          <w:marTop w:val="0"/>
          <w:marBottom w:val="0"/>
          <w:divBdr>
            <w:top w:val="none" w:sz="0" w:space="0" w:color="auto"/>
            <w:left w:val="none" w:sz="0" w:space="0" w:color="auto"/>
            <w:bottom w:val="none" w:sz="0" w:space="0" w:color="auto"/>
            <w:right w:val="none" w:sz="0" w:space="0" w:color="auto"/>
          </w:divBdr>
          <w:divsChild>
            <w:div w:id="1315916181">
              <w:marLeft w:val="0"/>
              <w:marRight w:val="0"/>
              <w:marTop w:val="0"/>
              <w:marBottom w:val="0"/>
              <w:divBdr>
                <w:top w:val="none" w:sz="0" w:space="0" w:color="auto"/>
                <w:left w:val="none" w:sz="0" w:space="0" w:color="auto"/>
                <w:bottom w:val="none" w:sz="0" w:space="0" w:color="auto"/>
                <w:right w:val="none" w:sz="0" w:space="0" w:color="auto"/>
              </w:divBdr>
              <w:divsChild>
                <w:div w:id="16692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6314">
      <w:bodyDiv w:val="1"/>
      <w:marLeft w:val="0"/>
      <w:marRight w:val="0"/>
      <w:marTop w:val="0"/>
      <w:marBottom w:val="0"/>
      <w:divBdr>
        <w:top w:val="none" w:sz="0" w:space="0" w:color="auto"/>
        <w:left w:val="none" w:sz="0" w:space="0" w:color="auto"/>
        <w:bottom w:val="none" w:sz="0" w:space="0" w:color="auto"/>
        <w:right w:val="none" w:sz="0" w:space="0" w:color="auto"/>
      </w:divBdr>
    </w:div>
    <w:div w:id="1397897254">
      <w:bodyDiv w:val="1"/>
      <w:marLeft w:val="0"/>
      <w:marRight w:val="0"/>
      <w:marTop w:val="0"/>
      <w:marBottom w:val="0"/>
      <w:divBdr>
        <w:top w:val="none" w:sz="0" w:space="0" w:color="auto"/>
        <w:left w:val="none" w:sz="0" w:space="0" w:color="auto"/>
        <w:bottom w:val="none" w:sz="0" w:space="0" w:color="auto"/>
        <w:right w:val="none" w:sz="0" w:space="0" w:color="auto"/>
      </w:divBdr>
    </w:div>
    <w:div w:id="1434864193">
      <w:bodyDiv w:val="1"/>
      <w:marLeft w:val="0"/>
      <w:marRight w:val="0"/>
      <w:marTop w:val="0"/>
      <w:marBottom w:val="0"/>
      <w:divBdr>
        <w:top w:val="none" w:sz="0" w:space="0" w:color="auto"/>
        <w:left w:val="none" w:sz="0" w:space="0" w:color="auto"/>
        <w:bottom w:val="none" w:sz="0" w:space="0" w:color="auto"/>
        <w:right w:val="none" w:sz="0" w:space="0" w:color="auto"/>
      </w:divBdr>
    </w:div>
    <w:div w:id="1463232146">
      <w:bodyDiv w:val="1"/>
      <w:marLeft w:val="0"/>
      <w:marRight w:val="0"/>
      <w:marTop w:val="0"/>
      <w:marBottom w:val="0"/>
      <w:divBdr>
        <w:top w:val="none" w:sz="0" w:space="0" w:color="auto"/>
        <w:left w:val="none" w:sz="0" w:space="0" w:color="auto"/>
        <w:bottom w:val="none" w:sz="0" w:space="0" w:color="auto"/>
        <w:right w:val="none" w:sz="0" w:space="0" w:color="auto"/>
      </w:divBdr>
    </w:div>
    <w:div w:id="1524132637">
      <w:bodyDiv w:val="1"/>
      <w:marLeft w:val="0"/>
      <w:marRight w:val="0"/>
      <w:marTop w:val="0"/>
      <w:marBottom w:val="0"/>
      <w:divBdr>
        <w:top w:val="none" w:sz="0" w:space="0" w:color="auto"/>
        <w:left w:val="none" w:sz="0" w:space="0" w:color="auto"/>
        <w:bottom w:val="none" w:sz="0" w:space="0" w:color="auto"/>
        <w:right w:val="none" w:sz="0" w:space="0" w:color="auto"/>
      </w:divBdr>
      <w:divsChild>
        <w:div w:id="1687487552">
          <w:marLeft w:val="0"/>
          <w:marRight w:val="0"/>
          <w:marTop w:val="100"/>
          <w:marBottom w:val="0"/>
          <w:divBdr>
            <w:top w:val="none" w:sz="0" w:space="0" w:color="auto"/>
            <w:left w:val="none" w:sz="0" w:space="0" w:color="auto"/>
            <w:bottom w:val="none" w:sz="0" w:space="0" w:color="auto"/>
            <w:right w:val="none" w:sz="0" w:space="0" w:color="auto"/>
          </w:divBdr>
          <w:divsChild>
            <w:div w:id="35082955">
              <w:marLeft w:val="0"/>
              <w:marRight w:val="0"/>
              <w:marTop w:val="60"/>
              <w:marBottom w:val="0"/>
              <w:divBdr>
                <w:top w:val="none" w:sz="0" w:space="0" w:color="auto"/>
                <w:left w:val="none" w:sz="0" w:space="0" w:color="auto"/>
                <w:bottom w:val="none" w:sz="0" w:space="0" w:color="auto"/>
                <w:right w:val="none" w:sz="0" w:space="0" w:color="auto"/>
              </w:divBdr>
            </w:div>
          </w:divsChild>
        </w:div>
        <w:div w:id="1354914561">
          <w:marLeft w:val="0"/>
          <w:marRight w:val="0"/>
          <w:marTop w:val="0"/>
          <w:marBottom w:val="0"/>
          <w:divBdr>
            <w:top w:val="none" w:sz="0" w:space="0" w:color="auto"/>
            <w:left w:val="none" w:sz="0" w:space="0" w:color="auto"/>
            <w:bottom w:val="none" w:sz="0" w:space="0" w:color="auto"/>
            <w:right w:val="none" w:sz="0" w:space="0" w:color="auto"/>
          </w:divBdr>
          <w:divsChild>
            <w:div w:id="1305307756">
              <w:marLeft w:val="0"/>
              <w:marRight w:val="0"/>
              <w:marTop w:val="0"/>
              <w:marBottom w:val="0"/>
              <w:divBdr>
                <w:top w:val="none" w:sz="0" w:space="0" w:color="auto"/>
                <w:left w:val="none" w:sz="0" w:space="0" w:color="auto"/>
                <w:bottom w:val="none" w:sz="0" w:space="0" w:color="auto"/>
                <w:right w:val="none" w:sz="0" w:space="0" w:color="auto"/>
              </w:divBdr>
              <w:divsChild>
                <w:div w:id="3104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383">
      <w:bodyDiv w:val="1"/>
      <w:marLeft w:val="0"/>
      <w:marRight w:val="0"/>
      <w:marTop w:val="0"/>
      <w:marBottom w:val="0"/>
      <w:divBdr>
        <w:top w:val="none" w:sz="0" w:space="0" w:color="auto"/>
        <w:left w:val="none" w:sz="0" w:space="0" w:color="auto"/>
        <w:bottom w:val="none" w:sz="0" w:space="0" w:color="auto"/>
        <w:right w:val="none" w:sz="0" w:space="0" w:color="auto"/>
      </w:divBdr>
    </w:div>
    <w:div w:id="1599558356">
      <w:bodyDiv w:val="1"/>
      <w:marLeft w:val="0"/>
      <w:marRight w:val="0"/>
      <w:marTop w:val="0"/>
      <w:marBottom w:val="0"/>
      <w:divBdr>
        <w:top w:val="none" w:sz="0" w:space="0" w:color="auto"/>
        <w:left w:val="none" w:sz="0" w:space="0" w:color="auto"/>
        <w:bottom w:val="none" w:sz="0" w:space="0" w:color="auto"/>
        <w:right w:val="none" w:sz="0" w:space="0" w:color="auto"/>
      </w:divBdr>
    </w:div>
    <w:div w:id="1671329254">
      <w:bodyDiv w:val="1"/>
      <w:marLeft w:val="0"/>
      <w:marRight w:val="0"/>
      <w:marTop w:val="0"/>
      <w:marBottom w:val="0"/>
      <w:divBdr>
        <w:top w:val="none" w:sz="0" w:space="0" w:color="auto"/>
        <w:left w:val="none" w:sz="0" w:space="0" w:color="auto"/>
        <w:bottom w:val="none" w:sz="0" w:space="0" w:color="auto"/>
        <w:right w:val="none" w:sz="0" w:space="0" w:color="auto"/>
      </w:divBdr>
    </w:div>
    <w:div w:id="1681540067">
      <w:bodyDiv w:val="1"/>
      <w:marLeft w:val="0"/>
      <w:marRight w:val="0"/>
      <w:marTop w:val="0"/>
      <w:marBottom w:val="0"/>
      <w:divBdr>
        <w:top w:val="none" w:sz="0" w:space="0" w:color="auto"/>
        <w:left w:val="none" w:sz="0" w:space="0" w:color="auto"/>
        <w:bottom w:val="none" w:sz="0" w:space="0" w:color="auto"/>
        <w:right w:val="none" w:sz="0" w:space="0" w:color="auto"/>
      </w:divBdr>
    </w:div>
    <w:div w:id="1742874966">
      <w:bodyDiv w:val="1"/>
      <w:marLeft w:val="0"/>
      <w:marRight w:val="0"/>
      <w:marTop w:val="0"/>
      <w:marBottom w:val="0"/>
      <w:divBdr>
        <w:top w:val="none" w:sz="0" w:space="0" w:color="auto"/>
        <w:left w:val="none" w:sz="0" w:space="0" w:color="auto"/>
        <w:bottom w:val="none" w:sz="0" w:space="0" w:color="auto"/>
        <w:right w:val="none" w:sz="0" w:space="0" w:color="auto"/>
      </w:divBdr>
    </w:div>
    <w:div w:id="1748724139">
      <w:bodyDiv w:val="1"/>
      <w:marLeft w:val="0"/>
      <w:marRight w:val="0"/>
      <w:marTop w:val="0"/>
      <w:marBottom w:val="0"/>
      <w:divBdr>
        <w:top w:val="none" w:sz="0" w:space="0" w:color="auto"/>
        <w:left w:val="none" w:sz="0" w:space="0" w:color="auto"/>
        <w:bottom w:val="none" w:sz="0" w:space="0" w:color="auto"/>
        <w:right w:val="none" w:sz="0" w:space="0" w:color="auto"/>
      </w:divBdr>
    </w:div>
    <w:div w:id="1753625238">
      <w:bodyDiv w:val="1"/>
      <w:marLeft w:val="0"/>
      <w:marRight w:val="0"/>
      <w:marTop w:val="0"/>
      <w:marBottom w:val="0"/>
      <w:divBdr>
        <w:top w:val="none" w:sz="0" w:space="0" w:color="auto"/>
        <w:left w:val="none" w:sz="0" w:space="0" w:color="auto"/>
        <w:bottom w:val="none" w:sz="0" w:space="0" w:color="auto"/>
        <w:right w:val="none" w:sz="0" w:space="0" w:color="auto"/>
      </w:divBdr>
    </w:div>
    <w:div w:id="1874222065">
      <w:bodyDiv w:val="1"/>
      <w:marLeft w:val="0"/>
      <w:marRight w:val="0"/>
      <w:marTop w:val="0"/>
      <w:marBottom w:val="0"/>
      <w:divBdr>
        <w:top w:val="none" w:sz="0" w:space="0" w:color="auto"/>
        <w:left w:val="none" w:sz="0" w:space="0" w:color="auto"/>
        <w:bottom w:val="none" w:sz="0" w:space="0" w:color="auto"/>
        <w:right w:val="none" w:sz="0" w:space="0" w:color="auto"/>
      </w:divBdr>
    </w:div>
    <w:div w:id="1926958132">
      <w:bodyDiv w:val="1"/>
      <w:marLeft w:val="0"/>
      <w:marRight w:val="0"/>
      <w:marTop w:val="0"/>
      <w:marBottom w:val="0"/>
      <w:divBdr>
        <w:top w:val="none" w:sz="0" w:space="0" w:color="auto"/>
        <w:left w:val="none" w:sz="0" w:space="0" w:color="auto"/>
        <w:bottom w:val="none" w:sz="0" w:space="0" w:color="auto"/>
        <w:right w:val="none" w:sz="0" w:space="0" w:color="auto"/>
      </w:divBdr>
    </w:div>
    <w:div w:id="2009559258">
      <w:bodyDiv w:val="1"/>
      <w:marLeft w:val="0"/>
      <w:marRight w:val="0"/>
      <w:marTop w:val="0"/>
      <w:marBottom w:val="0"/>
      <w:divBdr>
        <w:top w:val="none" w:sz="0" w:space="0" w:color="auto"/>
        <w:left w:val="none" w:sz="0" w:space="0" w:color="auto"/>
        <w:bottom w:val="none" w:sz="0" w:space="0" w:color="auto"/>
        <w:right w:val="none" w:sz="0" w:space="0" w:color="auto"/>
      </w:divBdr>
    </w:div>
    <w:div w:id="2028216641">
      <w:bodyDiv w:val="1"/>
      <w:marLeft w:val="0"/>
      <w:marRight w:val="0"/>
      <w:marTop w:val="0"/>
      <w:marBottom w:val="0"/>
      <w:divBdr>
        <w:top w:val="none" w:sz="0" w:space="0" w:color="auto"/>
        <w:left w:val="none" w:sz="0" w:space="0" w:color="auto"/>
        <w:bottom w:val="none" w:sz="0" w:space="0" w:color="auto"/>
        <w:right w:val="none" w:sz="0" w:space="0" w:color="auto"/>
      </w:divBdr>
    </w:div>
    <w:div w:id="2034577351">
      <w:bodyDiv w:val="1"/>
      <w:marLeft w:val="0"/>
      <w:marRight w:val="0"/>
      <w:marTop w:val="0"/>
      <w:marBottom w:val="0"/>
      <w:divBdr>
        <w:top w:val="none" w:sz="0" w:space="0" w:color="auto"/>
        <w:left w:val="none" w:sz="0" w:space="0" w:color="auto"/>
        <w:bottom w:val="none" w:sz="0" w:space="0" w:color="auto"/>
        <w:right w:val="none" w:sz="0" w:space="0" w:color="auto"/>
      </w:divBdr>
    </w:div>
    <w:div w:id="20410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6.xml"/><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hyperlink" Target="http://www.nace.cz/26-vyroba-pocitacu-elektronickych-optickych-pristroju"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oleObject" Target="embeddings/oleObject2.bin"/><Relationship Id="rId33" Type="http://schemas.openxmlformats.org/officeDocument/2006/relationships/hyperlink" Target="http://www.nace.cz/25-vyroba-kovovych-konstrukci-vyrobku-stroju-zarizeni"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0.xml"/><Relationship Id="rId20" Type="http://schemas.openxmlformats.org/officeDocument/2006/relationships/image" Target="media/image1.emf"/><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image" Target="media/image2.emf"/><Relationship Id="rId32" Type="http://schemas.openxmlformats.org/officeDocument/2006/relationships/chart" Target="charts/chart20.xml"/><Relationship Id="rId37" Type="http://schemas.openxmlformats.org/officeDocument/2006/relationships/hyperlink" Target="http://www.nace.cz/30-vyroba-ostatnich-dopravnich-prostredku-zarizeni" TargetMode="Externa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5.xml"/><Relationship Id="rId28" Type="http://schemas.openxmlformats.org/officeDocument/2006/relationships/oleObject" Target="embeddings/oleObject3.bin"/><Relationship Id="rId36" Type="http://schemas.openxmlformats.org/officeDocument/2006/relationships/hyperlink" Target="http://www.nace.cz/29-vyroba-motorovych-vozidel-motocyklu-privesu-navesu" TargetMode="Externa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19.xml"/><Relationship Id="rId4" Type="http://schemas.openxmlformats.org/officeDocument/2006/relationships/styles" Target="style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image" Target="media/image3.emf"/><Relationship Id="rId30" Type="http://schemas.openxmlformats.org/officeDocument/2006/relationships/chart" Target="charts/chart18.xml"/><Relationship Id="rId35" Type="http://schemas.openxmlformats.org/officeDocument/2006/relationships/hyperlink" Target="http://www.nace.cz/27-vyroba-elektrickych-zarizeni" TargetMode="External"/><Relationship Id="rId8" Type="http://schemas.openxmlformats.org/officeDocument/2006/relationships/chart" Target="charts/chart2.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mework\Desktop\v&#253;sledky%20manufacturing%20total%20+%20manufacturing%2028%20za%20EU%2028%20a%20V4+G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List_aplikace_Microsoft_Excel.xlsx"/></Relationships>
</file>

<file path=word/charts/_rels/chart11.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DOKUMENTY\%20AAA%20%20HABILITACNI%20PRACE\data\Fin%20data\struktrua%20C%20dle%20V4%20a%20D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List_aplikace_Microsoft_Excel1.xlsx"/></Relationships>
</file>

<file path=word/charts/_rels/chart14.xml.rels><?xml version="1.0" encoding="UTF-8" standalone="yes"?>
<Relationships xmlns="http://schemas.openxmlformats.org/package/2006/relationships"><Relationship Id="rId3" Type="http://schemas.openxmlformats.org/officeDocument/2006/relationships/oleObject" Target="file:///F:\DOKUMENTY\%20AAA%20%20HABILITACNI%20PRACE\data\Fin%20data\Makro%20data%20odv&#283;tv&#237;%20V4.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Graf%20v%20aplikaci%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Se&#353;it7"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20druhy%20dle%20techn%20n&#225;ro&#269;nosti.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20druhy%20dle%20techn%20n&#225;ro&#269;nosti.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mework\Desktop\HAB%20%20data%20manufaturing%20EU%20umployment%20%20.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file:///D:\DOKUMENTY\%20AAA%20%20HABILITACNI%20PRACE\data\v&#253;sledky%20manufacturing%20total%20+%20manufacturing%2028%20za%20EU%2028%20a%20V4+G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olek\Downloads\nama_10_gdp%20(2).xls"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Graf%20v%20aplikaci%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olek\Downloads\nama_10_gdp.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olek\Downloads\nama_10_gdp.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4-0BF3-4E85-962A-E4FCE60D330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0BF3-4E85-962A-E4FCE60D330B}"/>
              </c:ext>
            </c:extLst>
          </c:dPt>
          <c:dPt>
            <c:idx val="4"/>
            <c:invertIfNegative val="0"/>
            <c:bubble3D val="0"/>
            <c:spPr>
              <a:solidFill>
                <a:schemeClr val="accent1">
                  <a:lumMod val="50000"/>
                </a:schemeClr>
              </a:solidFill>
              <a:ln>
                <a:noFill/>
              </a:ln>
              <a:effectLst/>
            </c:spPr>
            <c:extLst>
              <c:ext xmlns:c16="http://schemas.microsoft.com/office/drawing/2014/chart" uri="{C3380CC4-5D6E-409C-BE32-E72D297353CC}">
                <c16:uniqueId val="{0000000A-6B47-4E4F-B0A6-8696166DC879}"/>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0BF3-4E85-962A-E4FCE60D330B}"/>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0-0BF3-4E85-962A-E4FCE60D330B}"/>
              </c:ext>
            </c:extLst>
          </c:dPt>
          <c:dPt>
            <c:idx val="14"/>
            <c:invertIfNegative val="0"/>
            <c:bubble3D val="0"/>
            <c:spPr>
              <a:solidFill>
                <a:srgbClr val="7030A0"/>
              </a:solidFill>
              <a:ln>
                <a:noFill/>
              </a:ln>
              <a:effectLst/>
            </c:spPr>
            <c:extLst>
              <c:ext xmlns:c16="http://schemas.microsoft.com/office/drawing/2014/chart" uri="{C3380CC4-5D6E-409C-BE32-E72D297353CC}">
                <c16:uniqueId val="{00000001-0BF3-4E85-962A-E4FCE60D330B}"/>
              </c:ext>
            </c:extLst>
          </c:dPt>
          <c:cat>
            <c:strRef>
              <c:f>List1!$AF$77:$AF$105</c:f>
              <c:strCache>
                <c:ptCount val="29"/>
                <c:pt idx="0">
                  <c:v>Irsko</c:v>
                </c:pt>
                <c:pt idx="1">
                  <c:v>Česko</c:v>
                </c:pt>
                <c:pt idx="2">
                  <c:v>Rumunsko</c:v>
                </c:pt>
                <c:pt idx="3">
                  <c:v>Slovensko</c:v>
                </c:pt>
                <c:pt idx="4">
                  <c:v>Německo </c:v>
                </c:pt>
                <c:pt idx="5">
                  <c:v>Slovinsko</c:v>
                </c:pt>
                <c:pt idx="6">
                  <c:v>Maďarsko</c:v>
                </c:pt>
                <c:pt idx="7">
                  <c:v>Litva</c:v>
                </c:pt>
                <c:pt idx="8">
                  <c:v>Rakousko</c:v>
                </c:pt>
                <c:pt idx="9">
                  <c:v>Polsko</c:v>
                </c:pt>
                <c:pt idx="10">
                  <c:v>Finsko</c:v>
                </c:pt>
                <c:pt idx="11">
                  <c:v>Estonsko</c:v>
                </c:pt>
                <c:pt idx="12">
                  <c:v>Itálie</c:v>
                </c:pt>
                <c:pt idx="13">
                  <c:v>Chorvatsko</c:v>
                </c:pt>
                <c:pt idx="14">
                  <c:v>EU 28</c:v>
                </c:pt>
                <c:pt idx="15">
                  <c:v>Bulharsko</c:v>
                </c:pt>
                <c:pt idx="16">
                  <c:v>Švédsko</c:v>
                </c:pt>
                <c:pt idx="17">
                  <c:v>Dánsko</c:v>
                </c:pt>
                <c:pt idx="18">
                  <c:v>Portugalsko</c:v>
                </c:pt>
                <c:pt idx="19">
                  <c:v>Belgie</c:v>
                </c:pt>
                <c:pt idx="20">
                  <c:v>Lotyšsko</c:v>
                </c:pt>
                <c:pt idx="21">
                  <c:v>Španělsko</c:v>
                </c:pt>
                <c:pt idx="22">
                  <c:v>Nizozemsko</c:v>
                </c:pt>
                <c:pt idx="23">
                  <c:v>Francie</c:v>
                </c:pt>
                <c:pt idx="24">
                  <c:v>Velká Británie </c:v>
                </c:pt>
                <c:pt idx="25">
                  <c:v>Malta</c:v>
                </c:pt>
                <c:pt idx="26">
                  <c:v>Řecko</c:v>
                </c:pt>
                <c:pt idx="27">
                  <c:v>Lucembursko</c:v>
                </c:pt>
                <c:pt idx="28">
                  <c:v>Kypr</c:v>
                </c:pt>
              </c:strCache>
            </c:strRef>
          </c:cat>
          <c:val>
            <c:numRef>
              <c:f>List1!$AG$77:$AG$105</c:f>
              <c:numCache>
                <c:formatCode>General</c:formatCode>
                <c:ptCount val="29"/>
                <c:pt idx="0">
                  <c:v>31.319700463234938</c:v>
                </c:pt>
                <c:pt idx="1">
                  <c:v>25.808832508605274</c:v>
                </c:pt>
                <c:pt idx="2">
                  <c:v>24.452383849564235</c:v>
                </c:pt>
                <c:pt idx="3">
                  <c:v>24.393715799558539</c:v>
                </c:pt>
                <c:pt idx="4">
                  <c:v>22.938946152458197</c:v>
                </c:pt>
                <c:pt idx="5">
                  <c:v>21.538944602348359</c:v>
                </c:pt>
                <c:pt idx="6">
                  <c:v>20.872574857026009</c:v>
                </c:pt>
                <c:pt idx="7">
                  <c:v>20.553055867586384</c:v>
                </c:pt>
                <c:pt idx="8">
                  <c:v>20.514310794354273</c:v>
                </c:pt>
                <c:pt idx="9">
                  <c:v>19.6345495109735</c:v>
                </c:pt>
                <c:pt idx="10">
                  <c:v>17.808049605305122</c:v>
                </c:pt>
                <c:pt idx="11">
                  <c:v>17.401079057512991</c:v>
                </c:pt>
                <c:pt idx="12">
                  <c:v>16.474566442351502</c:v>
                </c:pt>
                <c:pt idx="13">
                  <c:v>15.919107869240719</c:v>
                </c:pt>
                <c:pt idx="14">
                  <c:v>15.845155421866997</c:v>
                </c:pt>
                <c:pt idx="15">
                  <c:v>15.325341503323893</c:v>
                </c:pt>
                <c:pt idx="16">
                  <c:v>14.701331732746647</c:v>
                </c:pt>
                <c:pt idx="17">
                  <c:v>14.66515792964476</c:v>
                </c:pt>
                <c:pt idx="18">
                  <c:v>14.315330994935886</c:v>
                </c:pt>
                <c:pt idx="19">
                  <c:v>14.26698814479748</c:v>
                </c:pt>
                <c:pt idx="20">
                  <c:v>12.969098907289421</c:v>
                </c:pt>
                <c:pt idx="21">
                  <c:v>12.203827288623769</c:v>
                </c:pt>
                <c:pt idx="22">
                  <c:v>12.080918014572509</c:v>
                </c:pt>
                <c:pt idx="23">
                  <c:v>11.399385968659226</c:v>
                </c:pt>
                <c:pt idx="24">
                  <c:v>9.6849192111579949</c:v>
                </c:pt>
                <c:pt idx="25">
                  <c:v>9.0493526891352349</c:v>
                </c:pt>
                <c:pt idx="26">
                  <c:v>8.0784456777431668</c:v>
                </c:pt>
                <c:pt idx="27">
                  <c:v>5.8544424011306546</c:v>
                </c:pt>
                <c:pt idx="28">
                  <c:v>5.4426175001837622</c:v>
                </c:pt>
              </c:numCache>
            </c:numRef>
          </c:val>
          <c:extLst>
            <c:ext xmlns:c16="http://schemas.microsoft.com/office/drawing/2014/chart" uri="{C3380CC4-5D6E-409C-BE32-E72D297353CC}">
              <c16:uniqueId val="{00000000-39AC-4B79-98DE-F6055D953292}"/>
            </c:ext>
          </c:extLst>
        </c:ser>
        <c:dLbls>
          <c:showLegendKey val="0"/>
          <c:showVal val="0"/>
          <c:showCatName val="0"/>
          <c:showSerName val="0"/>
          <c:showPercent val="0"/>
          <c:showBubbleSize val="0"/>
        </c:dLbls>
        <c:gapWidth val="100"/>
        <c:axId val="470564304"/>
        <c:axId val="470565288"/>
      </c:barChart>
      <c:catAx>
        <c:axId val="4705643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470565288"/>
        <c:crosses val="autoZero"/>
        <c:auto val="1"/>
        <c:lblAlgn val="ctr"/>
        <c:lblOffset val="100"/>
        <c:noMultiLvlLbl val="0"/>
      </c:catAx>
      <c:valAx>
        <c:axId val="4705652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cs-CZ"/>
                  <a:t>(v %)</a:t>
                </a:r>
                <a:endParaRPr lang="en-GB"/>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47056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F8-4607-A574-A56FEC2961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F8-4607-A574-A56FEC2961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F8-4607-A574-A56FEC2961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F8-4607-A574-A56FEC2961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F8-4607-A574-A56FEC2961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F8-4607-A574-A56FEC2961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EF8-4607-A574-A56FEC2961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EF8-4607-A574-A56FEC2961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EF8-4607-A574-A56FEC2961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EF8-4607-A574-A56FEC29619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EF8-4607-A574-A56FEC29619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EF8-4607-A574-A56FEC29619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EF8-4607-A574-A56FEC29619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EF8-4607-A574-A56FEC29619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Data!$AH$41:$AU$41</c:f>
              <c:strCache>
                <c:ptCount val="14"/>
                <c:pt idx="0">
                  <c:v>Výroba potravinářských výrobků</c:v>
                </c:pt>
                <c:pt idx="1">
                  <c:v>Výroba textilu, oděvů, kůže a příbuzných výrobků</c:v>
                </c:pt>
                <c:pt idx="2">
                  <c:v>Výroba dřeva, papíru, tisk a reprodukce</c:v>
                </c:pt>
                <c:pt idx="3">
                  <c:v>Výroba koksu a rafinovaných ropných produktů</c:v>
                </c:pt>
                <c:pt idx="4">
                  <c:v>Výroba chemikálií a chemických výrobků</c:v>
                </c:pt>
                <c:pt idx="5">
                  <c:v>Výroba základních farmaceutických výrobků a farmaceutických přípravků</c:v>
                </c:pt>
                <c:pt idx="6">
                  <c:v>Výroba pryžových a plastových výrobků</c:v>
                </c:pt>
                <c:pt idx="7">
                  <c:v>Výroba základních kovů a kovodělných výrobků,</c:v>
                </c:pt>
                <c:pt idx="8">
                  <c:v>Výroba počítačových, elektronických a optických pro</c:v>
                </c:pt>
                <c:pt idx="9">
                  <c:v>Výroba elektrických zařízení</c:v>
                </c:pt>
                <c:pt idx="10">
                  <c:v>Výroba strojů a zařízení </c:v>
                </c:pt>
                <c:pt idx="11">
                  <c:v>Výroba motorových vozidel,</c:v>
                </c:pt>
                <c:pt idx="12">
                  <c:v>Výroba nábytku</c:v>
                </c:pt>
                <c:pt idx="13">
                  <c:v>Ostatní</c:v>
                </c:pt>
              </c:strCache>
            </c:strRef>
          </c:cat>
          <c:val>
            <c:numRef>
              <c:f>Data!$AH$49:$AU$49</c:f>
              <c:numCache>
                <c:formatCode>0.00</c:formatCode>
                <c:ptCount val="14"/>
                <c:pt idx="0">
                  <c:v>11.965341757240637</c:v>
                </c:pt>
                <c:pt idx="1">
                  <c:v>2.8066486817215277</c:v>
                </c:pt>
                <c:pt idx="2">
                  <c:v>6.5632515007941565</c:v>
                </c:pt>
                <c:pt idx="3">
                  <c:v>3.4143625403440687</c:v>
                </c:pt>
                <c:pt idx="4">
                  <c:v>3.7767553760061996</c:v>
                </c:pt>
                <c:pt idx="5">
                  <c:v>2.0576591662450903</c:v>
                </c:pt>
                <c:pt idx="6">
                  <c:v>12.885067059191385</c:v>
                </c:pt>
                <c:pt idx="7">
                  <c:v>14.621220226934408</c:v>
                </c:pt>
                <c:pt idx="8">
                  <c:v>4.9244746571208644</c:v>
                </c:pt>
                <c:pt idx="9">
                  <c:v>6.1880815285195032</c:v>
                </c:pt>
                <c:pt idx="10">
                  <c:v>6.6223171908582179</c:v>
                </c:pt>
                <c:pt idx="11">
                  <c:v>16.139268711493294</c:v>
                </c:pt>
                <c:pt idx="12">
                  <c:v>0.45636815605142844</c:v>
                </c:pt>
                <c:pt idx="13">
                  <c:v>7.5791834474792239</c:v>
                </c:pt>
              </c:numCache>
            </c:numRef>
          </c:val>
          <c:extLst>
            <c:ext xmlns:c16="http://schemas.microsoft.com/office/drawing/2014/chart" uri="{C3380CC4-5D6E-409C-BE32-E72D297353CC}">
              <c16:uniqueId val="{0000001C-EEF8-4607-A574-A56FEC29619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BA-45E9-98B3-2C74890100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BA-45E9-98B3-2C74890100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BA-45E9-98B3-2C74890100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BA-45E9-98B3-2C74890100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BA-45E9-98B3-2C74890100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BA-45E9-98B3-2C74890100F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8BA-45E9-98B3-2C74890100F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8BA-45E9-98B3-2C74890100F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8BA-45E9-98B3-2C74890100F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8BA-45E9-98B3-2C74890100F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8BA-45E9-98B3-2C74890100F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8BA-45E9-98B3-2C74890100F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8BA-45E9-98B3-2C74890100F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List1!$H$108:$H$120</c:f>
              <c:strCache>
                <c:ptCount val="13"/>
                <c:pt idx="0">
                  <c:v>Výroba potravinářských výrobků</c:v>
                </c:pt>
                <c:pt idx="1">
                  <c:v>Výroba textilu, oděvů, kůže a příbuzných výrobků</c:v>
                </c:pt>
                <c:pt idx="2">
                  <c:v>Výroba dřeva, papíru, tisk a reprodukce</c:v>
                </c:pt>
                <c:pt idx="3">
                  <c:v>Výroba koksu a rafinovaných ropných produktů</c:v>
                </c:pt>
                <c:pt idx="4">
                  <c:v>Výroba chemikálií a chemických výrobků</c:v>
                </c:pt>
                <c:pt idx="5">
                  <c:v>Výroba základních farmaceutických výrobků a farmaceutických přípravků</c:v>
                </c:pt>
                <c:pt idx="6">
                  <c:v>Výroba pryžových a plastových výrobků</c:v>
                </c:pt>
                <c:pt idx="7">
                  <c:v>Výroba základních kovů a kovodělných výrobků,</c:v>
                </c:pt>
                <c:pt idx="8">
                  <c:v>Výroba počítačových, elektronických a optických pro</c:v>
                </c:pt>
                <c:pt idx="9">
                  <c:v>Výroba elektrických zařízení</c:v>
                </c:pt>
                <c:pt idx="10">
                  <c:v>Výroba strojů a zařízení </c:v>
                </c:pt>
                <c:pt idx="11">
                  <c:v>Výroba motorových vozidel,</c:v>
                </c:pt>
                <c:pt idx="12">
                  <c:v>Výroba nábytku</c:v>
                </c:pt>
              </c:strCache>
            </c:strRef>
          </c:cat>
          <c:val>
            <c:numRef>
              <c:f>List1!$I$108:$I$120</c:f>
              <c:numCache>
                <c:formatCode>0.0</c:formatCode>
                <c:ptCount val="13"/>
                <c:pt idx="0">
                  <c:v>12.99554182188141</c:v>
                </c:pt>
                <c:pt idx="1">
                  <c:v>5.9223310173556154</c:v>
                </c:pt>
                <c:pt idx="2">
                  <c:v>8.4749618479796034</c:v>
                </c:pt>
                <c:pt idx="3">
                  <c:v>0.52591335778854154</c:v>
                </c:pt>
                <c:pt idx="4">
                  <c:v>2.7660609737217099</c:v>
                </c:pt>
                <c:pt idx="5">
                  <c:v>1.2330290650464304</c:v>
                </c:pt>
                <c:pt idx="6">
                  <c:v>11.690000221171132</c:v>
                </c:pt>
                <c:pt idx="7">
                  <c:v>15.020837480292073</c:v>
                </c:pt>
                <c:pt idx="8">
                  <c:v>3.6368433192099778</c:v>
                </c:pt>
                <c:pt idx="9">
                  <c:v>5.5245389371779208</c:v>
                </c:pt>
                <c:pt idx="10">
                  <c:v>6.8818977747024475</c:v>
                </c:pt>
                <c:pt idx="11">
                  <c:v>13.491755056130076</c:v>
                </c:pt>
                <c:pt idx="12">
                  <c:v>11.836289127543075</c:v>
                </c:pt>
              </c:numCache>
            </c:numRef>
          </c:val>
          <c:extLst>
            <c:ext xmlns:c16="http://schemas.microsoft.com/office/drawing/2014/chart" uri="{C3380CC4-5D6E-409C-BE32-E72D297353CC}">
              <c16:uniqueId val="{0000001A-08BA-45E9-98B3-2C74890100F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struktura!$S$30</c:f>
              <c:strCache>
                <c:ptCount val="1"/>
                <c:pt idx="0">
                  <c:v>Index  L</c:v>
                </c:pt>
              </c:strCache>
            </c:strRef>
          </c:tx>
          <c:spPr>
            <a:solidFill>
              <a:schemeClr val="accent1"/>
            </a:solidFill>
            <a:ln>
              <a:noFill/>
            </a:ln>
            <a:effectLst/>
          </c:spPr>
          <c:invertIfNegative val="0"/>
          <c:val>
            <c:numRef>
              <c:f>struktura!$S$31:$S$43</c:f>
              <c:numCache>
                <c:formatCode>0.00</c:formatCode>
                <c:ptCount val="13"/>
                <c:pt idx="0">
                  <c:v>0.94035475364551269</c:v>
                </c:pt>
                <c:pt idx="1">
                  <c:v>0.45241394818704211</c:v>
                </c:pt>
                <c:pt idx="2">
                  <c:v>0.90365916750655839</c:v>
                </c:pt>
                <c:pt idx="3">
                  <c:v>1.1813796577378715</c:v>
                </c:pt>
                <c:pt idx="4">
                  <c:v>1.065223783593092</c:v>
                </c:pt>
                <c:pt idx="5">
                  <c:v>1.2226730181632985</c:v>
                </c:pt>
                <c:pt idx="6">
                  <c:v>1.1303985462567538</c:v>
                </c:pt>
                <c:pt idx="7">
                  <c:v>1.1589330246550984</c:v>
                </c:pt>
                <c:pt idx="8">
                  <c:v>0.79719396009098109</c:v>
                </c:pt>
                <c:pt idx="9">
                  <c:v>1.0897545266399318</c:v>
                </c:pt>
                <c:pt idx="10">
                  <c:v>1.0784359633289673</c:v>
                </c:pt>
                <c:pt idx="11">
                  <c:v>1.270930793622767</c:v>
                </c:pt>
                <c:pt idx="12">
                  <c:v>1.2165514159258317</c:v>
                </c:pt>
              </c:numCache>
            </c:numRef>
          </c:val>
          <c:extLst>
            <c:ext xmlns:c16="http://schemas.microsoft.com/office/drawing/2014/chart" uri="{C3380CC4-5D6E-409C-BE32-E72D297353CC}">
              <c16:uniqueId val="{00000000-B0DA-48C2-ABB7-9C426DC8F256}"/>
            </c:ext>
          </c:extLst>
        </c:ser>
        <c:ser>
          <c:idx val="1"/>
          <c:order val="1"/>
          <c:tx>
            <c:strRef>
              <c:f>struktura!$T$30</c:f>
              <c:strCache>
                <c:ptCount val="1"/>
                <c:pt idx="0">
                  <c:v>Index GVA</c:v>
                </c:pt>
              </c:strCache>
            </c:strRef>
          </c:tx>
          <c:spPr>
            <a:solidFill>
              <a:schemeClr val="accent2"/>
            </a:solidFill>
            <a:ln>
              <a:noFill/>
            </a:ln>
            <a:effectLst/>
          </c:spPr>
          <c:invertIfNegative val="0"/>
          <c:val>
            <c:numRef>
              <c:f>struktura!$T$31:$T$43</c:f>
              <c:numCache>
                <c:formatCode>0.00</c:formatCode>
                <c:ptCount val="13"/>
                <c:pt idx="0">
                  <c:v>0.77416531530460686</c:v>
                </c:pt>
                <c:pt idx="1">
                  <c:v>0.54134499221790566</c:v>
                </c:pt>
                <c:pt idx="2">
                  <c:v>0.83047075530396697</c:v>
                </c:pt>
                <c:pt idx="3">
                  <c:v>0.7422346038615959</c:v>
                </c:pt>
                <c:pt idx="4">
                  <c:v>0.60214715228593252</c:v>
                </c:pt>
                <c:pt idx="5">
                  <c:v>0.78010779367775995</c:v>
                </c:pt>
                <c:pt idx="6">
                  <c:v>1.1064348214145245</c:v>
                </c:pt>
                <c:pt idx="7">
                  <c:v>0.86013035353881773</c:v>
                </c:pt>
                <c:pt idx="8">
                  <c:v>1.7026676003145409</c:v>
                </c:pt>
                <c:pt idx="9">
                  <c:v>1.2750282965635109</c:v>
                </c:pt>
                <c:pt idx="10">
                  <c:v>1.1725944872309821</c:v>
                </c:pt>
                <c:pt idx="11">
                  <c:v>1.3931140065686449</c:v>
                </c:pt>
                <c:pt idx="12">
                  <c:v>1.0082004304024996</c:v>
                </c:pt>
              </c:numCache>
            </c:numRef>
          </c:val>
          <c:extLst>
            <c:ext xmlns:c16="http://schemas.microsoft.com/office/drawing/2014/chart" uri="{C3380CC4-5D6E-409C-BE32-E72D297353CC}">
              <c16:uniqueId val="{00000001-B0DA-48C2-ABB7-9C426DC8F256}"/>
            </c:ext>
          </c:extLst>
        </c:ser>
        <c:dLbls>
          <c:showLegendKey val="0"/>
          <c:showVal val="0"/>
          <c:showCatName val="0"/>
          <c:showSerName val="0"/>
          <c:showPercent val="0"/>
          <c:showBubbleSize val="0"/>
        </c:dLbls>
        <c:gapWidth val="219"/>
        <c:overlap val="-27"/>
        <c:axId val="572564984"/>
        <c:axId val="572556128"/>
      </c:barChart>
      <c:catAx>
        <c:axId val="572564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2556128"/>
        <c:crosses val="autoZero"/>
        <c:auto val="1"/>
        <c:lblAlgn val="ctr"/>
        <c:lblOffset val="100"/>
        <c:noMultiLvlLbl val="0"/>
      </c:catAx>
      <c:valAx>
        <c:axId val="572556128"/>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256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List4!$A$4</c:f>
              <c:strCache>
                <c:ptCount val="1"/>
                <c:pt idx="0">
                  <c:v>CZ</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List4!$B$4:$Q$4</c:f>
              <c:numCache>
                <c:formatCode>General</c:formatCode>
                <c:ptCount val="16"/>
                <c:pt idx="0">
                  <c:v>16.32992915631613</c:v>
                </c:pt>
                <c:pt idx="1">
                  <c:v>18.136141781494601</c:v>
                </c:pt>
                <c:pt idx="2">
                  <c:v>21.747647511392554</c:v>
                </c:pt>
                <c:pt idx="3">
                  <c:v>22.44584151744111</c:v>
                </c:pt>
                <c:pt idx="4">
                  <c:v>24.090107263777849</c:v>
                </c:pt>
                <c:pt idx="5">
                  <c:v>22.884115136123995</c:v>
                </c:pt>
                <c:pt idx="6">
                  <c:v>26.44464151606666</c:v>
                </c:pt>
                <c:pt idx="7">
                  <c:v>28.120825906347296</c:v>
                </c:pt>
                <c:pt idx="8">
                  <c:v>26.837276531000381</c:v>
                </c:pt>
                <c:pt idx="9">
                  <c:v>26.453778449434619</c:v>
                </c:pt>
                <c:pt idx="10">
                  <c:v>27.038241619891934</c:v>
                </c:pt>
                <c:pt idx="11">
                  <c:v>28.135020730045515</c:v>
                </c:pt>
                <c:pt idx="12">
                  <c:v>28.695627584744265</c:v>
                </c:pt>
                <c:pt idx="13">
                  <c:v>30.715578953232502</c:v>
                </c:pt>
                <c:pt idx="14">
                  <c:v>31.056908883590754</c:v>
                </c:pt>
                <c:pt idx="15">
                  <c:v>32.691599435746696</c:v>
                </c:pt>
              </c:numCache>
            </c:numRef>
          </c:val>
          <c:smooth val="0"/>
          <c:extLst>
            <c:ext xmlns:c16="http://schemas.microsoft.com/office/drawing/2014/chart" uri="{C3380CC4-5D6E-409C-BE32-E72D297353CC}">
              <c16:uniqueId val="{00000000-40AA-4B6A-AB75-89DE94B45548}"/>
            </c:ext>
          </c:extLst>
        </c:ser>
        <c:ser>
          <c:idx val="1"/>
          <c:order val="1"/>
          <c:tx>
            <c:strRef>
              <c:f>List4!$A$5</c:f>
              <c:strCache>
                <c:ptCount val="1"/>
                <c:pt idx="0">
                  <c:v>HU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List4!$B$5:$Q$5</c:f>
              <c:numCache>
                <c:formatCode>General</c:formatCode>
                <c:ptCount val="16"/>
                <c:pt idx="0">
                  <c:v>18.578604948805459</c:v>
                </c:pt>
                <c:pt idx="1">
                  <c:v>19.895214127652189</c:v>
                </c:pt>
                <c:pt idx="2">
                  <c:v>21.331677181054491</c:v>
                </c:pt>
                <c:pt idx="3">
                  <c:v>22.965426560445511</c:v>
                </c:pt>
                <c:pt idx="4">
                  <c:v>22.793301163780871</c:v>
                </c:pt>
                <c:pt idx="5">
                  <c:v>20.561911045274044</c:v>
                </c:pt>
                <c:pt idx="6">
                  <c:v>22.966452352154814</c:v>
                </c:pt>
                <c:pt idx="7">
                  <c:v>23.125820220424284</c:v>
                </c:pt>
                <c:pt idx="8">
                  <c:v>22.243211041056444</c:v>
                </c:pt>
                <c:pt idx="9">
                  <c:v>22.402529381706696</c:v>
                </c:pt>
                <c:pt idx="10">
                  <c:v>23.565755298191903</c:v>
                </c:pt>
                <c:pt idx="11">
                  <c:v>25.730889471561113</c:v>
                </c:pt>
                <c:pt idx="12">
                  <c:v>24.660763763402002</c:v>
                </c:pt>
                <c:pt idx="13">
                  <c:v>24.433795595995523</c:v>
                </c:pt>
                <c:pt idx="14">
                  <c:v>24.593879778960758</c:v>
                </c:pt>
                <c:pt idx="15">
                  <c:v>24.979986583184257</c:v>
                </c:pt>
              </c:numCache>
            </c:numRef>
          </c:val>
          <c:smooth val="0"/>
          <c:extLst>
            <c:ext xmlns:c16="http://schemas.microsoft.com/office/drawing/2014/chart" uri="{C3380CC4-5D6E-409C-BE32-E72D297353CC}">
              <c16:uniqueId val="{00000001-40AA-4B6A-AB75-89DE94B45548}"/>
            </c:ext>
          </c:extLst>
        </c:ser>
        <c:ser>
          <c:idx val="2"/>
          <c:order val="2"/>
          <c:tx>
            <c:strRef>
              <c:f>List4!$A$6</c:f>
              <c:strCache>
                <c:ptCount val="1"/>
                <c:pt idx="0">
                  <c:v>PL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List4!$B$6:$Q$6</c:f>
              <c:numCache>
                <c:formatCode>General</c:formatCode>
                <c:ptCount val="16"/>
                <c:pt idx="0">
                  <c:v>12.485146662675845</c:v>
                </c:pt>
                <c:pt idx="1">
                  <c:v>12.657556561085974</c:v>
                </c:pt>
                <c:pt idx="2">
                  <c:v>14.040605287649512</c:v>
                </c:pt>
                <c:pt idx="3">
                  <c:v>15.140832220013685</c:v>
                </c:pt>
                <c:pt idx="4">
                  <c:v>15.671023965141613</c:v>
                </c:pt>
                <c:pt idx="5">
                  <c:v>16.837636315858624</c:v>
                </c:pt>
                <c:pt idx="6">
                  <c:v>19.453552295248432</c:v>
                </c:pt>
                <c:pt idx="7">
                  <c:v>20.720266906375329</c:v>
                </c:pt>
                <c:pt idx="8">
                  <c:v>21.365951090732249</c:v>
                </c:pt>
                <c:pt idx="9">
                  <c:v>20.948112886773206</c:v>
                </c:pt>
                <c:pt idx="10">
                  <c:v>22.204539403620871</c:v>
                </c:pt>
                <c:pt idx="11">
                  <c:v>23.251220221740958</c:v>
                </c:pt>
                <c:pt idx="12">
                  <c:v>23.152041223200321</c:v>
                </c:pt>
                <c:pt idx="13">
                  <c:v>22.634940678961588</c:v>
                </c:pt>
                <c:pt idx="14">
                  <c:v>23.780876609286853</c:v>
                </c:pt>
                <c:pt idx="15">
                  <c:v>25.813192722492754</c:v>
                </c:pt>
              </c:numCache>
            </c:numRef>
          </c:val>
          <c:smooth val="0"/>
          <c:extLst>
            <c:ext xmlns:c16="http://schemas.microsoft.com/office/drawing/2014/chart" uri="{C3380CC4-5D6E-409C-BE32-E72D297353CC}">
              <c16:uniqueId val="{00000002-40AA-4B6A-AB75-89DE94B45548}"/>
            </c:ext>
          </c:extLst>
        </c:ser>
        <c:ser>
          <c:idx val="3"/>
          <c:order val="3"/>
          <c:tx>
            <c:strRef>
              <c:f>List4!$A$7</c:f>
              <c:strCache>
                <c:ptCount val="1"/>
                <c:pt idx="0">
                  <c:v>SK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List4!$B$7:$Q$7</c:f>
              <c:numCache>
                <c:formatCode>General</c:formatCode>
                <c:ptCount val="16"/>
                <c:pt idx="0">
                  <c:v>15.741298764333528</c:v>
                </c:pt>
                <c:pt idx="1">
                  <c:v>17.757508566821205</c:v>
                </c:pt>
                <c:pt idx="2">
                  <c:v>19.549063759184641</c:v>
                </c:pt>
                <c:pt idx="3">
                  <c:v>21.119953528899213</c:v>
                </c:pt>
                <c:pt idx="4">
                  <c:v>20.932909368143108</c:v>
                </c:pt>
                <c:pt idx="5">
                  <c:v>19.981860639673076</c:v>
                </c:pt>
                <c:pt idx="6">
                  <c:v>26.793221514324102</c:v>
                </c:pt>
                <c:pt idx="7">
                  <c:v>26.75440241742211</c:v>
                </c:pt>
                <c:pt idx="8">
                  <c:v>27.238614900314797</c:v>
                </c:pt>
                <c:pt idx="9">
                  <c:v>27.233652822151225</c:v>
                </c:pt>
                <c:pt idx="10">
                  <c:v>31.927195307770983</c:v>
                </c:pt>
                <c:pt idx="11">
                  <c:v>34.882303788697087</c:v>
                </c:pt>
                <c:pt idx="12">
                  <c:v>33.366476714482218</c:v>
                </c:pt>
                <c:pt idx="13">
                  <c:v>32.606138542710717</c:v>
                </c:pt>
                <c:pt idx="14">
                  <c:v>35.744301067271572</c:v>
                </c:pt>
                <c:pt idx="15">
                  <c:v>35.129304743339837</c:v>
                </c:pt>
              </c:numCache>
            </c:numRef>
          </c:val>
          <c:smooth val="0"/>
          <c:extLst>
            <c:ext xmlns:c16="http://schemas.microsoft.com/office/drawing/2014/chart" uri="{C3380CC4-5D6E-409C-BE32-E72D297353CC}">
              <c16:uniqueId val="{00000003-40AA-4B6A-AB75-89DE94B45548}"/>
            </c:ext>
          </c:extLst>
        </c:ser>
        <c:ser>
          <c:idx val="4"/>
          <c:order val="4"/>
          <c:tx>
            <c:strRef>
              <c:f>List4!$A$8</c:f>
              <c:strCache>
                <c:ptCount val="1"/>
                <c:pt idx="0">
                  <c:v>EU 28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List4!$B$8:$Q$8</c:f>
              <c:numCache>
                <c:formatCode>General</c:formatCode>
                <c:ptCount val="16"/>
                <c:pt idx="0">
                  <c:v>48.328586733932752</c:v>
                </c:pt>
                <c:pt idx="1">
                  <c:v>49.857253301596593</c:v>
                </c:pt>
                <c:pt idx="2">
                  <c:v>52.675047836045714</c:v>
                </c:pt>
                <c:pt idx="3">
                  <c:v>54.305577859857614</c:v>
                </c:pt>
                <c:pt idx="4">
                  <c:v>53.138969338241509</c:v>
                </c:pt>
                <c:pt idx="5">
                  <c:v>49.010044855722128</c:v>
                </c:pt>
                <c:pt idx="6">
                  <c:v>55.75063887182214</c:v>
                </c:pt>
                <c:pt idx="7">
                  <c:v>58.12012707474269</c:v>
                </c:pt>
                <c:pt idx="8">
                  <c:v>57.125817697768767</c:v>
                </c:pt>
                <c:pt idx="9">
                  <c:v>57.425316558652092</c:v>
                </c:pt>
                <c:pt idx="10">
                  <c:v>59.106091899706669</c:v>
                </c:pt>
                <c:pt idx="11">
                  <c:v>61.147231929080405</c:v>
                </c:pt>
                <c:pt idx="12">
                  <c:v>61.730383649231399</c:v>
                </c:pt>
                <c:pt idx="13">
                  <c:v>63.029375912158976</c:v>
                </c:pt>
                <c:pt idx="14">
                  <c:v>63.365733877960004</c:v>
                </c:pt>
                <c:pt idx="15">
                  <c:v>63.129190153320266</c:v>
                </c:pt>
              </c:numCache>
            </c:numRef>
          </c:val>
          <c:smooth val="0"/>
          <c:extLst>
            <c:ext xmlns:c16="http://schemas.microsoft.com/office/drawing/2014/chart" uri="{C3380CC4-5D6E-409C-BE32-E72D297353CC}">
              <c16:uniqueId val="{00000004-40AA-4B6A-AB75-89DE94B45548}"/>
            </c:ext>
          </c:extLst>
        </c:ser>
        <c:ser>
          <c:idx val="5"/>
          <c:order val="5"/>
          <c:tx>
            <c:strRef>
              <c:f>List4!$A$9</c:f>
              <c:strCache>
                <c:ptCount val="1"/>
                <c:pt idx="0">
                  <c:v>DE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List4!$B$9:$Q$9</c:f>
              <c:numCache>
                <c:formatCode>General</c:formatCode>
                <c:ptCount val="16"/>
                <c:pt idx="0">
                  <c:v>63.288463626492948</c:v>
                </c:pt>
                <c:pt idx="1">
                  <c:v>65.456356107660454</c:v>
                </c:pt>
                <c:pt idx="2">
                  <c:v>71.882428471737612</c:v>
                </c:pt>
                <c:pt idx="3">
                  <c:v>73.798267803134451</c:v>
                </c:pt>
                <c:pt idx="4">
                  <c:v>70.472137302225789</c:v>
                </c:pt>
                <c:pt idx="5">
                  <c:v>58.268507831821928</c:v>
                </c:pt>
                <c:pt idx="6">
                  <c:v>70.737254901960782</c:v>
                </c:pt>
                <c:pt idx="7">
                  <c:v>75.102841455044612</c:v>
                </c:pt>
                <c:pt idx="8">
                  <c:v>72.493456556934703</c:v>
                </c:pt>
                <c:pt idx="9">
                  <c:v>72.213501882732643</c:v>
                </c:pt>
                <c:pt idx="10">
                  <c:v>75.367317203582417</c:v>
                </c:pt>
                <c:pt idx="11">
                  <c:v>75.908497602557276</c:v>
                </c:pt>
                <c:pt idx="12">
                  <c:v>78.64606905710491</c:v>
                </c:pt>
                <c:pt idx="13">
                  <c:v>80.692533579141426</c:v>
                </c:pt>
                <c:pt idx="14">
                  <c:v>79.976473636481415</c:v>
                </c:pt>
                <c:pt idx="15">
                  <c:v>76.826939932972422</c:v>
                </c:pt>
              </c:numCache>
            </c:numRef>
          </c:val>
          <c:smooth val="0"/>
          <c:extLst>
            <c:ext xmlns:c16="http://schemas.microsoft.com/office/drawing/2014/chart" uri="{C3380CC4-5D6E-409C-BE32-E72D297353CC}">
              <c16:uniqueId val="{00000005-40AA-4B6A-AB75-89DE94B45548}"/>
            </c:ext>
          </c:extLst>
        </c:ser>
        <c:dLbls>
          <c:showLegendKey val="0"/>
          <c:showVal val="0"/>
          <c:showCatName val="0"/>
          <c:showSerName val="0"/>
          <c:showPercent val="0"/>
          <c:showBubbleSize val="0"/>
        </c:dLbls>
        <c:marker val="1"/>
        <c:smooth val="0"/>
        <c:axId val="444712664"/>
        <c:axId val="444717584"/>
      </c:lineChart>
      <c:catAx>
        <c:axId val="44471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4717584"/>
        <c:crosses val="autoZero"/>
        <c:auto val="1"/>
        <c:lblAlgn val="ctr"/>
        <c:lblOffset val="100"/>
        <c:noMultiLvlLbl val="0"/>
      </c:catAx>
      <c:valAx>
        <c:axId val="44471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4712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'[Makro data odvětví V4.xls]variační rozpět'!$B$1:$B$15</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xVal>
          <c:yVal>
            <c:numRef>
              <c:f>'[Makro data odvětví V4.xls]variační rozpět'!$D$1:$D$15</c:f>
              <c:numCache>
                <c:formatCode>General</c:formatCode>
                <c:ptCount val="15"/>
                <c:pt idx="0" formatCode="0.00">
                  <c:v>61.605319999999999</c:v>
                </c:pt>
                <c:pt idx="1">
                  <c:v>55.62724</c:v>
                </c:pt>
                <c:pt idx="2">
                  <c:v>53.250779999999999</c:v>
                </c:pt>
                <c:pt idx="3">
                  <c:v>52.071269999999998</c:v>
                </c:pt>
                <c:pt idx="4">
                  <c:v>50.650390000000002</c:v>
                </c:pt>
                <c:pt idx="5">
                  <c:v>51.055889999999998</c:v>
                </c:pt>
                <c:pt idx="6">
                  <c:v>49.18591</c:v>
                </c:pt>
                <c:pt idx="7">
                  <c:v>49.738930000000003</c:v>
                </c:pt>
                <c:pt idx="8">
                  <c:v>47.69023</c:v>
                </c:pt>
                <c:pt idx="9">
                  <c:v>42.69473</c:v>
                </c:pt>
                <c:pt idx="10">
                  <c:v>46.639490000000002</c:v>
                </c:pt>
                <c:pt idx="11">
                  <c:v>47.09449</c:v>
                </c:pt>
                <c:pt idx="12">
                  <c:v>48.349020000000003</c:v>
                </c:pt>
                <c:pt idx="13">
                  <c:v>47.532269999999997</c:v>
                </c:pt>
                <c:pt idx="14">
                  <c:v>45.125839999999997</c:v>
                </c:pt>
              </c:numCache>
            </c:numRef>
          </c:yVal>
          <c:smooth val="1"/>
          <c:extLst>
            <c:ext xmlns:c16="http://schemas.microsoft.com/office/drawing/2014/chart" uri="{C3380CC4-5D6E-409C-BE32-E72D297353CC}">
              <c16:uniqueId val="{00000000-10E4-4428-AEEA-DD9916592B19}"/>
            </c:ext>
          </c:extLst>
        </c:ser>
        <c:dLbls>
          <c:showLegendKey val="0"/>
          <c:showVal val="0"/>
          <c:showCatName val="0"/>
          <c:showSerName val="0"/>
          <c:showPercent val="0"/>
          <c:showBubbleSize val="0"/>
        </c:dLbls>
        <c:axId val="436483392"/>
        <c:axId val="436489952"/>
      </c:scatterChart>
      <c:valAx>
        <c:axId val="43648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6489952"/>
        <c:crosses val="autoZero"/>
        <c:crossBetween val="midCat"/>
      </c:valAx>
      <c:valAx>
        <c:axId val="43648995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6483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LP catch-up index mezi Německem a zeměmi V4</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'catch 4-19'!$A$5</c:f>
              <c:strCache>
                <c:ptCount val="1"/>
                <c:pt idx="0">
                  <c:v>Česko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4-19'!$B$5:$Q$5</c:f>
              <c:numCache>
                <c:formatCode>General</c:formatCode>
                <c:ptCount val="16"/>
                <c:pt idx="0">
                  <c:v>25.80237885484128</c:v>
                </c:pt>
                <c:pt idx="1">
                  <c:v>27.707227930110978</c:v>
                </c:pt>
                <c:pt idx="2">
                  <c:v>30.254469657968201</c:v>
                </c:pt>
                <c:pt idx="3">
                  <c:v>30.415133289195932</c:v>
                </c:pt>
                <c:pt idx="4">
                  <c:v>34.183874912811802</c:v>
                </c:pt>
                <c:pt idx="5">
                  <c:v>39.273556141464105</c:v>
                </c:pt>
                <c:pt idx="6">
                  <c:v>37.384319695071511</c:v>
                </c:pt>
                <c:pt idx="7">
                  <c:v>37.443091847836385</c:v>
                </c:pt>
                <c:pt idx="8">
                  <c:v>37.020274388382902</c:v>
                </c:pt>
                <c:pt idx="9">
                  <c:v>36.632731774167183</c:v>
                </c:pt>
                <c:pt idx="10">
                  <c:v>35.875287356794402</c:v>
                </c:pt>
                <c:pt idx="11">
                  <c:v>37.064388861119653</c:v>
                </c:pt>
                <c:pt idx="12">
                  <c:v>36.487046242461744</c:v>
                </c:pt>
                <c:pt idx="13">
                  <c:v>38.064957922169278</c:v>
                </c:pt>
                <c:pt idx="14">
                  <c:v>38.832555964838249</c:v>
                </c:pt>
                <c:pt idx="15">
                  <c:v>42.552260267385947</c:v>
                </c:pt>
              </c:numCache>
            </c:numRef>
          </c:val>
          <c:smooth val="0"/>
          <c:extLst>
            <c:ext xmlns:c16="http://schemas.microsoft.com/office/drawing/2014/chart" uri="{C3380CC4-5D6E-409C-BE32-E72D297353CC}">
              <c16:uniqueId val="{00000000-2260-4D41-8C0C-3F6FA22D1F14}"/>
            </c:ext>
          </c:extLst>
        </c:ser>
        <c:ser>
          <c:idx val="1"/>
          <c:order val="1"/>
          <c:tx>
            <c:strRef>
              <c:f>'catch 4-19'!$A$6</c:f>
              <c:strCache>
                <c:ptCount val="1"/>
                <c:pt idx="0">
                  <c:v>Německo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4-19'!$B$6:$Q$6</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smooth val="0"/>
          <c:extLst>
            <c:ext xmlns:c16="http://schemas.microsoft.com/office/drawing/2014/chart" uri="{C3380CC4-5D6E-409C-BE32-E72D297353CC}">
              <c16:uniqueId val="{00000001-2260-4D41-8C0C-3F6FA22D1F14}"/>
            </c:ext>
          </c:extLst>
        </c:ser>
        <c:ser>
          <c:idx val="2"/>
          <c:order val="2"/>
          <c:tx>
            <c:strRef>
              <c:f>'catch 4-19'!$A$7</c:f>
              <c:strCache>
                <c:ptCount val="1"/>
                <c:pt idx="0">
                  <c:v>Maďarko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4-19'!$B$7:$Q$7</c:f>
              <c:numCache>
                <c:formatCode>General</c:formatCode>
                <c:ptCount val="16"/>
                <c:pt idx="0">
                  <c:v>29.355436811438629</c:v>
                </c:pt>
                <c:pt idx="1">
                  <c:v>30.394625229258406</c:v>
                </c:pt>
                <c:pt idx="2">
                  <c:v>29.675788137071045</c:v>
                </c:pt>
                <c:pt idx="3">
                  <c:v>31.119194588290995</c:v>
                </c:pt>
                <c:pt idx="4">
                  <c:v>32.343706372959637</c:v>
                </c:pt>
                <c:pt idx="5">
                  <c:v>35.288205945861989</c:v>
                </c:pt>
                <c:pt idx="6">
                  <c:v>32.467265493954308</c:v>
                </c:pt>
                <c:pt idx="7">
                  <c:v>30.792204092926418</c:v>
                </c:pt>
                <c:pt idx="8">
                  <c:v>30.683060371920789</c:v>
                </c:pt>
                <c:pt idx="9">
                  <c:v>31.02263260696887</c:v>
                </c:pt>
                <c:pt idx="10">
                  <c:v>31.267870706523908</c:v>
                </c:pt>
                <c:pt idx="11">
                  <c:v>33.897245083525753</c:v>
                </c:pt>
                <c:pt idx="12">
                  <c:v>31.356638747571509</c:v>
                </c:pt>
                <c:pt idx="13">
                  <c:v>30.280119500810326</c:v>
                </c:pt>
                <c:pt idx="14">
                  <c:v>30.751393079354543</c:v>
                </c:pt>
                <c:pt idx="15">
                  <c:v>32.514618706638601</c:v>
                </c:pt>
              </c:numCache>
            </c:numRef>
          </c:val>
          <c:smooth val="0"/>
          <c:extLst>
            <c:ext xmlns:c16="http://schemas.microsoft.com/office/drawing/2014/chart" uri="{C3380CC4-5D6E-409C-BE32-E72D297353CC}">
              <c16:uniqueId val="{00000002-2260-4D41-8C0C-3F6FA22D1F14}"/>
            </c:ext>
          </c:extLst>
        </c:ser>
        <c:ser>
          <c:idx val="3"/>
          <c:order val="3"/>
          <c:tx>
            <c:strRef>
              <c:f>'catch 4-19'!$A$8</c:f>
              <c:strCache>
                <c:ptCount val="1"/>
                <c:pt idx="0">
                  <c:v>Polsko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4-19'!$B$8:$Q$8</c:f>
              <c:numCache>
                <c:formatCode>General</c:formatCode>
                <c:ptCount val="16"/>
                <c:pt idx="0">
                  <c:v>19.727365695522249</c:v>
                </c:pt>
                <c:pt idx="1">
                  <c:v>19.337398709251769</c:v>
                </c:pt>
                <c:pt idx="2">
                  <c:v>19.532736422740545</c:v>
                </c:pt>
                <c:pt idx="3">
                  <c:v>20.516514371859827</c:v>
                </c:pt>
                <c:pt idx="4">
                  <c:v>22.23719127168669</c:v>
                </c:pt>
                <c:pt idx="5">
                  <c:v>28.896632061449768</c:v>
                </c:pt>
                <c:pt idx="6">
                  <c:v>27.501141120347878</c:v>
                </c:pt>
                <c:pt idx="7">
                  <c:v>27.589191706918513</c:v>
                </c:pt>
                <c:pt idx="8">
                  <c:v>29.472937428431102</c:v>
                </c:pt>
                <c:pt idx="9">
                  <c:v>29.008581969602865</c:v>
                </c:pt>
                <c:pt idx="10">
                  <c:v>29.461761712496546</c:v>
                </c:pt>
                <c:pt idx="11">
                  <c:v>30.630589401834836</c:v>
                </c:pt>
                <c:pt idx="12">
                  <c:v>29.438268817211476</c:v>
                </c:pt>
                <c:pt idx="13">
                  <c:v>28.050848913749554</c:v>
                </c:pt>
                <c:pt idx="14">
                  <c:v>29.734840169846098</c:v>
                </c:pt>
                <c:pt idx="15">
                  <c:v>33.599142104336636</c:v>
                </c:pt>
              </c:numCache>
            </c:numRef>
          </c:val>
          <c:smooth val="0"/>
          <c:extLst>
            <c:ext xmlns:c16="http://schemas.microsoft.com/office/drawing/2014/chart" uri="{C3380CC4-5D6E-409C-BE32-E72D297353CC}">
              <c16:uniqueId val="{00000003-2260-4D41-8C0C-3F6FA22D1F14}"/>
            </c:ext>
          </c:extLst>
        </c:ser>
        <c:ser>
          <c:idx val="4"/>
          <c:order val="4"/>
          <c:tx>
            <c:strRef>
              <c:f>'catch 4-19'!$A$9</c:f>
              <c:strCache>
                <c:ptCount val="1"/>
                <c:pt idx="0">
                  <c:v>Slovensko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4-19'!$B$9:$Q$9</c:f>
              <c:numCache>
                <c:formatCode>General</c:formatCode>
                <c:ptCount val="16"/>
                <c:pt idx="0">
                  <c:v>24.872303516851563</c:v>
                </c:pt>
                <c:pt idx="1">
                  <c:v>27.128776520364561</c:v>
                </c:pt>
                <c:pt idx="2">
                  <c:v>27.195886637122797</c:v>
                </c:pt>
                <c:pt idx="3">
                  <c:v>28.618494928958455</c:v>
                </c:pt>
                <c:pt idx="4">
                  <c:v>29.703809433749022</c:v>
                </c:pt>
                <c:pt idx="5">
                  <c:v>34.292727552498725</c:v>
                </c:pt>
                <c:pt idx="6">
                  <c:v>37.877101043090398</c:v>
                </c:pt>
                <c:pt idx="7">
                  <c:v>35.623688663546609</c:v>
                </c:pt>
                <c:pt idx="8">
                  <c:v>37.573894519600145</c:v>
                </c:pt>
                <c:pt idx="9">
                  <c:v>37.712688226054865</c:v>
                </c:pt>
                <c:pt idx="10">
                  <c:v>42.362122591585887</c:v>
                </c:pt>
                <c:pt idx="11">
                  <c:v>45.953094700061534</c:v>
                </c:pt>
                <c:pt idx="12">
                  <c:v>42.426121374553148</c:v>
                </c:pt>
                <c:pt idx="13">
                  <c:v>40.407875544930491</c:v>
                </c:pt>
                <c:pt idx="14">
                  <c:v>44.693519784006511</c:v>
                </c:pt>
                <c:pt idx="15">
                  <c:v>45.725242700006483</c:v>
                </c:pt>
              </c:numCache>
            </c:numRef>
          </c:val>
          <c:smooth val="0"/>
          <c:extLst>
            <c:ext xmlns:c16="http://schemas.microsoft.com/office/drawing/2014/chart" uri="{C3380CC4-5D6E-409C-BE32-E72D297353CC}">
              <c16:uniqueId val="{00000004-2260-4D41-8C0C-3F6FA22D1F14}"/>
            </c:ext>
          </c:extLst>
        </c:ser>
        <c:dLbls>
          <c:showLegendKey val="0"/>
          <c:showVal val="0"/>
          <c:showCatName val="0"/>
          <c:showSerName val="0"/>
          <c:showPercent val="0"/>
          <c:showBubbleSize val="0"/>
        </c:dLbls>
        <c:marker val="1"/>
        <c:smooth val="0"/>
        <c:axId val="496110632"/>
        <c:axId val="496105384"/>
      </c:lineChart>
      <c:catAx>
        <c:axId val="49611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6105384"/>
        <c:crosses val="autoZero"/>
        <c:auto val="1"/>
        <c:lblAlgn val="ctr"/>
        <c:lblOffset val="100"/>
        <c:noMultiLvlLbl val="0"/>
      </c:catAx>
      <c:valAx>
        <c:axId val="49610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6110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v aplikaci Microsoft Word]catch 4-19'!$Q$217</c:f>
              <c:strCache>
                <c:ptCount val="1"/>
                <c:pt idx="0">
                  <c:v>CI 2004</c:v>
                </c:pt>
              </c:strCache>
            </c:strRef>
          </c:tx>
          <c:spPr>
            <a:solidFill>
              <a:schemeClr val="accent1"/>
            </a:solidFill>
            <a:ln>
              <a:noFill/>
            </a:ln>
            <a:effectLst/>
          </c:spPr>
          <c:invertIfNegative val="0"/>
          <c:val>
            <c:numRef>
              <c:f>'[Graf v aplikaci Microsoft Word]catch 4-19'!$Q$218:$Q$231</c:f>
              <c:numCache>
                <c:formatCode>0.00</c:formatCode>
                <c:ptCount val="14"/>
                <c:pt idx="0">
                  <c:v>41.598639398067263</c:v>
                </c:pt>
                <c:pt idx="1">
                  <c:v>17.374593656055154</c:v>
                </c:pt>
                <c:pt idx="2">
                  <c:v>29.784495023664341</c:v>
                </c:pt>
                <c:pt idx="3">
                  <c:v>56.664999999999999</c:v>
                </c:pt>
                <c:pt idx="4">
                  <c:v>29.954822093389051</c:v>
                </c:pt>
                <c:pt idx="5">
                  <c:v>24.692684116692302</c:v>
                </c:pt>
                <c:pt idx="6">
                  <c:v>33.78974264511259</c:v>
                </c:pt>
                <c:pt idx="7">
                  <c:v>36.549222758801321</c:v>
                </c:pt>
                <c:pt idx="8">
                  <c:v>15.84809876158889</c:v>
                </c:pt>
                <c:pt idx="9">
                  <c:v>19.228239036685874</c:v>
                </c:pt>
                <c:pt idx="10">
                  <c:v>17.768774566068824</c:v>
                </c:pt>
                <c:pt idx="11">
                  <c:v>27.372368670412772</c:v>
                </c:pt>
                <c:pt idx="12">
                  <c:v>26.091701014535307</c:v>
                </c:pt>
                <c:pt idx="13">
                  <c:v>28.978337057005668</c:v>
                </c:pt>
              </c:numCache>
            </c:numRef>
          </c:val>
          <c:extLst>
            <c:ext xmlns:c16="http://schemas.microsoft.com/office/drawing/2014/chart" uri="{C3380CC4-5D6E-409C-BE32-E72D297353CC}">
              <c16:uniqueId val="{00000000-3962-4505-A1FD-D7475C76D32E}"/>
            </c:ext>
          </c:extLst>
        </c:ser>
        <c:ser>
          <c:idx val="1"/>
          <c:order val="1"/>
          <c:tx>
            <c:strRef>
              <c:f>'[Graf v aplikaci Microsoft Word]catch 4-19'!$R$217</c:f>
              <c:strCache>
                <c:ptCount val="1"/>
                <c:pt idx="0">
                  <c:v>CI 2018</c:v>
                </c:pt>
              </c:strCache>
            </c:strRef>
          </c:tx>
          <c:spPr>
            <a:solidFill>
              <a:schemeClr val="accent2"/>
            </a:solidFill>
            <a:ln>
              <a:noFill/>
            </a:ln>
            <a:effectLst/>
          </c:spPr>
          <c:invertIfNegative val="0"/>
          <c:val>
            <c:numRef>
              <c:f>'[Graf v aplikaci Microsoft Word]catch 4-19'!$R$218:$R$231</c:f>
              <c:numCache>
                <c:formatCode>0.00</c:formatCode>
                <c:ptCount val="14"/>
                <c:pt idx="0">
                  <c:v>51.558874366078818</c:v>
                </c:pt>
                <c:pt idx="1">
                  <c:v>24.016101589527043</c:v>
                </c:pt>
                <c:pt idx="2">
                  <c:v>36.260744676255491</c:v>
                </c:pt>
                <c:pt idx="3">
                  <c:v>56.664999999999999</c:v>
                </c:pt>
                <c:pt idx="4">
                  <c:v>31.707242525738721</c:v>
                </c:pt>
                <c:pt idx="5">
                  <c:v>26.600972583513059</c:v>
                </c:pt>
                <c:pt idx="6">
                  <c:v>51.206959010398876</c:v>
                </c:pt>
                <c:pt idx="7">
                  <c:v>42.96547012520525</c:v>
                </c:pt>
                <c:pt idx="8">
                  <c:v>31.309839879308775</c:v>
                </c:pt>
                <c:pt idx="9">
                  <c:v>37.37296057248497</c:v>
                </c:pt>
                <c:pt idx="10">
                  <c:v>32.70423426120152</c:v>
                </c:pt>
                <c:pt idx="11">
                  <c:v>28.831142958225218</c:v>
                </c:pt>
                <c:pt idx="12">
                  <c:v>36.892929789508692</c:v>
                </c:pt>
                <c:pt idx="13">
                  <c:v>37.545574795188188</c:v>
                </c:pt>
              </c:numCache>
            </c:numRef>
          </c:val>
          <c:extLst>
            <c:ext xmlns:c16="http://schemas.microsoft.com/office/drawing/2014/chart" uri="{C3380CC4-5D6E-409C-BE32-E72D297353CC}">
              <c16:uniqueId val="{00000001-3962-4505-A1FD-D7475C76D32E}"/>
            </c:ext>
          </c:extLst>
        </c:ser>
        <c:dLbls>
          <c:showLegendKey val="0"/>
          <c:showVal val="0"/>
          <c:showCatName val="0"/>
          <c:showSerName val="0"/>
          <c:showPercent val="0"/>
          <c:showBubbleSize val="0"/>
        </c:dLbls>
        <c:gapWidth val="219"/>
        <c:overlap val="-27"/>
        <c:axId val="857785104"/>
        <c:axId val="857790512"/>
      </c:barChart>
      <c:catAx>
        <c:axId val="8577851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57790512"/>
        <c:crosses val="autoZero"/>
        <c:auto val="1"/>
        <c:lblAlgn val="ctr"/>
        <c:lblOffset val="100"/>
        <c:noMultiLvlLbl val="0"/>
      </c:catAx>
      <c:valAx>
        <c:axId val="857790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57785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List1!$D$2</c:f>
              <c:strCache>
                <c:ptCount val="1"/>
                <c:pt idx="0">
                  <c:v>LP přínos</c:v>
                </c:pt>
              </c:strCache>
            </c:strRef>
          </c:tx>
          <c:spPr>
            <a:solidFill>
              <a:schemeClr val="accent1"/>
            </a:solidFill>
            <a:ln>
              <a:noFill/>
            </a:ln>
            <a:effectLst/>
          </c:spPr>
          <c:invertIfNegative val="0"/>
          <c:cat>
            <c:strRef>
              <c:f>List1!$F$3:$F$13</c:f>
              <c:strCache>
                <c:ptCount val="11"/>
                <c:pt idx="0">
                  <c:v>Výroba potravinářských výrobků</c:v>
                </c:pt>
                <c:pt idx="1">
                  <c:v>Výroba textilu a oděvů</c:v>
                </c:pt>
                <c:pt idx="2">
                  <c:v>Výroba dřeva a papíru</c:v>
                </c:pt>
                <c:pt idx="3">
                  <c:v>Výroba chemikálií a chemických výrobků</c:v>
                </c:pt>
                <c:pt idx="4">
                  <c:v>Výroba  farmaceutických výrobků </c:v>
                </c:pt>
                <c:pt idx="5">
                  <c:v>Výroba pryžových a plastových výrobků</c:v>
                </c:pt>
                <c:pt idx="6">
                  <c:v>Výroba kovů a kovodělných výrobků,</c:v>
                </c:pt>
                <c:pt idx="7">
                  <c:v>Výroba počítačových produktů</c:v>
                </c:pt>
                <c:pt idx="8">
                  <c:v>Výroba elektrických zařízení</c:v>
                </c:pt>
                <c:pt idx="9">
                  <c:v>Výroba strojů a zařízení </c:v>
                </c:pt>
                <c:pt idx="10">
                  <c:v>Výroba motorových vozidel,</c:v>
                </c:pt>
              </c:strCache>
            </c:strRef>
          </c:cat>
          <c:val>
            <c:numRef>
              <c:f>List1!$D$3:$D$13</c:f>
              <c:numCache>
                <c:formatCode>0.00</c:formatCode>
                <c:ptCount val="11"/>
                <c:pt idx="0">
                  <c:v>7.7765862212544654</c:v>
                </c:pt>
                <c:pt idx="1">
                  <c:v>0.3</c:v>
                </c:pt>
                <c:pt idx="2">
                  <c:v>5.1150378627380055</c:v>
                </c:pt>
                <c:pt idx="3">
                  <c:v>0.65155304153118621</c:v>
                </c:pt>
                <c:pt idx="4">
                  <c:v>1.4795098792205337</c:v>
                </c:pt>
                <c:pt idx="5">
                  <c:v>15.456436221680271</c:v>
                </c:pt>
                <c:pt idx="6">
                  <c:v>12.093546103372065</c:v>
                </c:pt>
                <c:pt idx="7">
                  <c:v>8.0744713301939406</c:v>
                </c:pt>
                <c:pt idx="8">
                  <c:v>8.6551653580654371</c:v>
                </c:pt>
                <c:pt idx="9">
                  <c:v>8.3806812955887491</c:v>
                </c:pt>
                <c:pt idx="10">
                  <c:v>23.340327864801395</c:v>
                </c:pt>
              </c:numCache>
            </c:numRef>
          </c:val>
          <c:extLst>
            <c:ext xmlns:c16="http://schemas.microsoft.com/office/drawing/2014/chart" uri="{C3380CC4-5D6E-409C-BE32-E72D297353CC}">
              <c16:uniqueId val="{00000000-E388-4F2C-AA67-41982F0356BC}"/>
            </c:ext>
          </c:extLst>
        </c:ser>
        <c:ser>
          <c:idx val="1"/>
          <c:order val="1"/>
          <c:tx>
            <c:strRef>
              <c:f>List1!$E$2</c:f>
              <c:strCache>
                <c:ptCount val="1"/>
                <c:pt idx="0">
                  <c:v>CI přínos</c:v>
                </c:pt>
              </c:strCache>
            </c:strRef>
          </c:tx>
          <c:spPr>
            <a:solidFill>
              <a:schemeClr val="accent2"/>
            </a:solidFill>
            <a:ln>
              <a:noFill/>
            </a:ln>
            <a:effectLst/>
          </c:spPr>
          <c:invertIfNegative val="0"/>
          <c:cat>
            <c:strRef>
              <c:f>List1!$F$3:$F$13</c:f>
              <c:strCache>
                <c:ptCount val="11"/>
                <c:pt idx="0">
                  <c:v>Výroba potravinářských výrobků</c:v>
                </c:pt>
                <c:pt idx="1">
                  <c:v>Výroba textilu a oděvů</c:v>
                </c:pt>
                <c:pt idx="2">
                  <c:v>Výroba dřeva a papíru</c:v>
                </c:pt>
                <c:pt idx="3">
                  <c:v>Výroba chemikálií a chemických výrobků</c:v>
                </c:pt>
                <c:pt idx="4">
                  <c:v>Výroba  farmaceutických výrobků </c:v>
                </c:pt>
                <c:pt idx="5">
                  <c:v>Výroba pryžových a plastových výrobků</c:v>
                </c:pt>
                <c:pt idx="6">
                  <c:v>Výroba kovů a kovodělných výrobků,</c:v>
                </c:pt>
                <c:pt idx="7">
                  <c:v>Výroba počítačových produktů</c:v>
                </c:pt>
                <c:pt idx="8">
                  <c:v>Výroba elektrických zařízení</c:v>
                </c:pt>
                <c:pt idx="9">
                  <c:v>Výroba strojů a zařízení </c:v>
                </c:pt>
                <c:pt idx="10">
                  <c:v>Výroba motorových vozidel,</c:v>
                </c:pt>
              </c:strCache>
            </c:strRef>
          </c:cat>
          <c:val>
            <c:numRef>
              <c:f>List1!$E$3:$E$13</c:f>
              <c:numCache>
                <c:formatCode>General</c:formatCode>
                <c:ptCount val="11"/>
                <c:pt idx="0">
                  <c:v>8.943044935027233</c:v>
                </c:pt>
                <c:pt idx="1">
                  <c:v>5.9632432443746408</c:v>
                </c:pt>
                <c:pt idx="2">
                  <c:v>5.8148619826324941</c:v>
                </c:pt>
                <c:pt idx="3">
                  <c:v>1.5734543132662335</c:v>
                </c:pt>
                <c:pt idx="4">
                  <c:v>1.7134043084908532</c:v>
                </c:pt>
                <c:pt idx="5">
                  <c:v>15.638481330821779</c:v>
                </c:pt>
                <c:pt idx="6">
                  <c:v>5.7609874361684765</c:v>
                </c:pt>
                <c:pt idx="7">
                  <c:v>13.88270919648115</c:v>
                </c:pt>
                <c:pt idx="8">
                  <c:v>16.291689960061536</c:v>
                </c:pt>
                <c:pt idx="9">
                  <c:v>13.410174318962401</c:v>
                </c:pt>
                <c:pt idx="10">
                  <c:v>1.3097968118088998</c:v>
                </c:pt>
              </c:numCache>
            </c:numRef>
          </c:val>
          <c:extLst>
            <c:ext xmlns:c16="http://schemas.microsoft.com/office/drawing/2014/chart" uri="{C3380CC4-5D6E-409C-BE32-E72D297353CC}">
              <c16:uniqueId val="{00000001-E388-4F2C-AA67-41982F0356BC}"/>
            </c:ext>
          </c:extLst>
        </c:ser>
        <c:dLbls>
          <c:showLegendKey val="0"/>
          <c:showVal val="0"/>
          <c:showCatName val="0"/>
          <c:showSerName val="0"/>
          <c:showPercent val="0"/>
          <c:showBubbleSize val="0"/>
        </c:dLbls>
        <c:gapWidth val="182"/>
        <c:axId val="535947343"/>
        <c:axId val="535949839"/>
      </c:barChart>
      <c:catAx>
        <c:axId val="535947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5949839"/>
        <c:crosses val="autoZero"/>
        <c:auto val="1"/>
        <c:lblAlgn val="ctr"/>
        <c:lblOffset val="100"/>
        <c:noMultiLvlLbl val="0"/>
      </c:catAx>
      <c:valAx>
        <c:axId val="53594983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59473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a:t>
            </a:r>
            <a:r>
              <a:rPr lang="cs-CZ" baseline="0"/>
              <a:t> CI dle technologické intensity</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'catch 4-19'!$A$241</c:f>
              <c:strCache>
                <c:ptCount val="1"/>
                <c:pt idx="0">
                  <c:v>Hight tech</c:v>
                </c:pt>
              </c:strCache>
            </c:strRef>
          </c:tx>
          <c:spPr>
            <a:solidFill>
              <a:schemeClr val="accent1"/>
            </a:solidFill>
            <a:ln>
              <a:noFill/>
            </a:ln>
            <a:effectLst/>
          </c:spPr>
          <c:invertIfNegative val="0"/>
          <c:cat>
            <c:strRef>
              <c:f>'catch 4-19'!$B$240:$P$240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'catch 4-19'!$B$241:$P$241</c:f>
              <c:numCache>
                <c:formatCode>General</c:formatCode>
                <c:ptCount val="15"/>
                <c:pt idx="0">
                  <c:v>20.982033030289731</c:v>
                </c:pt>
                <c:pt idx="1">
                  <c:v>21.671638371131106</c:v>
                </c:pt>
                <c:pt idx="2">
                  <c:v>22.158760620017794</c:v>
                </c:pt>
                <c:pt idx="3">
                  <c:v>22.834034001533958</c:v>
                </c:pt>
                <c:pt idx="4">
                  <c:v>24.915558747108339</c:v>
                </c:pt>
                <c:pt idx="5">
                  <c:v>29.519703847884326</c:v>
                </c:pt>
                <c:pt idx="6">
                  <c:v>32.525653600784807</c:v>
                </c:pt>
                <c:pt idx="7">
                  <c:v>32.737710892923317</c:v>
                </c:pt>
                <c:pt idx="8">
                  <c:v>31.563453785495085</c:v>
                </c:pt>
                <c:pt idx="9">
                  <c:v>29.661009099061154</c:v>
                </c:pt>
                <c:pt idx="10">
                  <c:v>32.44741695706405</c:v>
                </c:pt>
                <c:pt idx="11">
                  <c:v>33.838799928083596</c:v>
                </c:pt>
                <c:pt idx="12">
                  <c:v>31.367036745419519</c:v>
                </c:pt>
                <c:pt idx="13">
                  <c:v>30.708186830185944</c:v>
                </c:pt>
                <c:pt idx="14">
                  <c:v>31.36383005094671</c:v>
                </c:pt>
              </c:numCache>
            </c:numRef>
          </c:val>
          <c:extLst>
            <c:ext xmlns:c16="http://schemas.microsoft.com/office/drawing/2014/chart" uri="{C3380CC4-5D6E-409C-BE32-E72D297353CC}">
              <c16:uniqueId val="{00000000-067A-45EB-BE1F-94F4D48D1652}"/>
            </c:ext>
          </c:extLst>
        </c:ser>
        <c:ser>
          <c:idx val="1"/>
          <c:order val="1"/>
          <c:tx>
            <c:strRef>
              <c:f>'catch 4-19'!$A$242</c:f>
              <c:strCache>
                <c:ptCount val="1"/>
                <c:pt idx="0">
                  <c:v>Low tech</c:v>
                </c:pt>
              </c:strCache>
            </c:strRef>
          </c:tx>
          <c:spPr>
            <a:solidFill>
              <a:schemeClr val="accent2"/>
            </a:solidFill>
            <a:ln>
              <a:noFill/>
            </a:ln>
            <a:effectLst/>
          </c:spPr>
          <c:invertIfNegative val="0"/>
          <c:cat>
            <c:strRef>
              <c:f>'catch 4-19'!$B$240:$P$240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'catch 4-19'!$B$242:$P$242</c:f>
              <c:numCache>
                <c:formatCode>General</c:formatCode>
                <c:ptCount val="15"/>
                <c:pt idx="0">
                  <c:v>34.550484928033711</c:v>
                </c:pt>
                <c:pt idx="1">
                  <c:v>36.141714946296915</c:v>
                </c:pt>
                <c:pt idx="2">
                  <c:v>36.611667402767559</c:v>
                </c:pt>
                <c:pt idx="3">
                  <c:v>37.843458941526549</c:v>
                </c:pt>
                <c:pt idx="4">
                  <c:v>39.143825329114328</c:v>
                </c:pt>
                <c:pt idx="5">
                  <c:v>41.536068998306398</c:v>
                </c:pt>
                <c:pt idx="6">
                  <c:v>40.36478172115428</c:v>
                </c:pt>
                <c:pt idx="7">
                  <c:v>39.610867369466348</c:v>
                </c:pt>
                <c:pt idx="8">
                  <c:v>40.884180530346981</c:v>
                </c:pt>
                <c:pt idx="9">
                  <c:v>41.420845842721299</c:v>
                </c:pt>
                <c:pt idx="10">
                  <c:v>41.792340210227039</c:v>
                </c:pt>
                <c:pt idx="11">
                  <c:v>42.106478508931922</c:v>
                </c:pt>
                <c:pt idx="12">
                  <c:v>41.614591176524499</c:v>
                </c:pt>
                <c:pt idx="13">
                  <c:v>41.383537351723191</c:v>
                </c:pt>
                <c:pt idx="14">
                  <c:v>42.795154222424884</c:v>
                </c:pt>
              </c:numCache>
            </c:numRef>
          </c:val>
          <c:extLst>
            <c:ext xmlns:c16="http://schemas.microsoft.com/office/drawing/2014/chart" uri="{C3380CC4-5D6E-409C-BE32-E72D297353CC}">
              <c16:uniqueId val="{00000001-067A-45EB-BE1F-94F4D48D1652}"/>
            </c:ext>
          </c:extLst>
        </c:ser>
        <c:dLbls>
          <c:showLegendKey val="0"/>
          <c:showVal val="0"/>
          <c:showCatName val="0"/>
          <c:showSerName val="0"/>
          <c:showPercent val="0"/>
          <c:showBubbleSize val="0"/>
        </c:dLbls>
        <c:gapWidth val="219"/>
        <c:overlap val="-27"/>
        <c:axId val="448007408"/>
        <c:axId val="448007736"/>
      </c:barChart>
      <c:lineChart>
        <c:grouping val="standard"/>
        <c:varyColors val="0"/>
        <c:ser>
          <c:idx val="2"/>
          <c:order val="2"/>
          <c:tx>
            <c:strRef>
              <c:f>'catch 4-19'!$A$243</c:f>
              <c:strCache>
                <c:ptCount val="1"/>
                <c:pt idx="0">
                  <c:v>Total</c:v>
                </c:pt>
              </c:strCache>
            </c:strRef>
          </c:tx>
          <c:spPr>
            <a:ln w="28575" cap="rnd">
              <a:solidFill>
                <a:schemeClr val="accent3"/>
              </a:solidFill>
              <a:round/>
            </a:ln>
            <a:effectLst/>
          </c:spPr>
          <c:marker>
            <c:symbol val="none"/>
          </c:marker>
          <c:val>
            <c:numRef>
              <c:f>'catch 4-19'!$B$243:$P$243</c:f>
              <c:numCache>
                <c:formatCode>General</c:formatCode>
                <c:ptCount val="15"/>
                <c:pt idx="0">
                  <c:v>28.978337057005668</c:v>
                </c:pt>
                <c:pt idx="1">
                  <c:v>30.149219751466052</c:v>
                </c:pt>
                <c:pt idx="2">
                  <c:v>30.717230203950514</c:v>
                </c:pt>
                <c:pt idx="3">
                  <c:v>31.682748806524764</c:v>
                </c:pt>
                <c:pt idx="4">
                  <c:v>33.25552175230446</c:v>
                </c:pt>
                <c:pt idx="5">
                  <c:v>36.699843492500094</c:v>
                </c:pt>
                <c:pt idx="6">
                  <c:v>36.403012874018856</c:v>
                </c:pt>
                <c:pt idx="7">
                  <c:v>36.109710024863901</c:v>
                </c:pt>
                <c:pt idx="8">
                  <c:v>36.604584882514921</c:v>
                </c:pt>
                <c:pt idx="9">
                  <c:v>35.858914659762185</c:v>
                </c:pt>
                <c:pt idx="10">
                  <c:v>37.189192760858781</c:v>
                </c:pt>
                <c:pt idx="11">
                  <c:v>38.238569513451338</c:v>
                </c:pt>
                <c:pt idx="12">
                  <c:v>36.867203839912776</c:v>
                </c:pt>
                <c:pt idx="13">
                  <c:v>36.301987870892169</c:v>
                </c:pt>
                <c:pt idx="14">
                  <c:v>37.545574795188188</c:v>
                </c:pt>
              </c:numCache>
            </c:numRef>
          </c:val>
          <c:smooth val="0"/>
          <c:extLst>
            <c:ext xmlns:c16="http://schemas.microsoft.com/office/drawing/2014/chart" uri="{C3380CC4-5D6E-409C-BE32-E72D297353CC}">
              <c16:uniqueId val="{00000002-067A-45EB-BE1F-94F4D48D1652}"/>
            </c:ext>
          </c:extLst>
        </c:ser>
        <c:dLbls>
          <c:showLegendKey val="0"/>
          <c:showVal val="0"/>
          <c:showCatName val="0"/>
          <c:showSerName val="0"/>
          <c:showPercent val="0"/>
          <c:showBubbleSize val="0"/>
        </c:dLbls>
        <c:marker val="1"/>
        <c:smooth val="0"/>
        <c:axId val="448011344"/>
        <c:axId val="448009048"/>
      </c:lineChart>
      <c:catAx>
        <c:axId val="4480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07736"/>
        <c:crosses val="autoZero"/>
        <c:auto val="1"/>
        <c:lblAlgn val="ctr"/>
        <c:lblOffset val="100"/>
        <c:noMultiLvlLbl val="0"/>
      </c:catAx>
      <c:valAx>
        <c:axId val="44800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07408"/>
        <c:crosses val="autoZero"/>
        <c:crossBetween val="between"/>
      </c:valAx>
      <c:valAx>
        <c:axId val="4480090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11344"/>
        <c:crosses val="max"/>
        <c:crossBetween val="between"/>
      </c:valAx>
      <c:catAx>
        <c:axId val="448011344"/>
        <c:scaling>
          <c:orientation val="minMax"/>
        </c:scaling>
        <c:delete val="1"/>
        <c:axPos val="b"/>
        <c:majorTickMark val="out"/>
        <c:minorTickMark val="none"/>
        <c:tickLblPos val="nextTo"/>
        <c:crossAx val="4480090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Tempo</a:t>
            </a:r>
            <a:r>
              <a:rPr lang="cs-CZ" baseline="0"/>
              <a:t> růstu v CI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'catch 4-19'!$A$244</c:f>
              <c:strCache>
                <c:ptCount val="1"/>
                <c:pt idx="0">
                  <c:v>Tempo růstu HT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'catch 4-19'!$C$240:$P$240</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'catch 4-19'!$C$244:$P$244</c:f>
              <c:numCache>
                <c:formatCode>General</c:formatCode>
                <c:ptCount val="14"/>
                <c:pt idx="0">
                  <c:v>1.0328664691284137</c:v>
                </c:pt>
                <c:pt idx="1">
                  <c:v>1.0224774075934926</c:v>
                </c:pt>
                <c:pt idx="2">
                  <c:v>1.0304743299093242</c:v>
                </c:pt>
                <c:pt idx="3">
                  <c:v>1.0911588703701915</c:v>
                </c:pt>
                <c:pt idx="4">
                  <c:v>1.1847899598603358</c:v>
                </c:pt>
                <c:pt idx="5">
                  <c:v>1.1018285877253446</c:v>
                </c:pt>
                <c:pt idx="6">
                  <c:v>1.0065196934930585</c:v>
                </c:pt>
                <c:pt idx="7">
                  <c:v>0.96413136180263403</c:v>
                </c:pt>
                <c:pt idx="8">
                  <c:v>0.93972634619256412</c:v>
                </c:pt>
                <c:pt idx="9">
                  <c:v>1.0939417755038918</c:v>
                </c:pt>
                <c:pt idx="10">
                  <c:v>1.0428811628630004</c:v>
                </c:pt>
                <c:pt idx="11">
                  <c:v>0.92695476234626439</c:v>
                </c:pt>
                <c:pt idx="12">
                  <c:v>0.97899546837717188</c:v>
                </c:pt>
                <c:pt idx="13">
                  <c:v>1.0213507630517693</c:v>
                </c:pt>
              </c:numCache>
            </c:numRef>
          </c:val>
          <c:smooth val="0"/>
          <c:extLst>
            <c:ext xmlns:c16="http://schemas.microsoft.com/office/drawing/2014/chart" uri="{C3380CC4-5D6E-409C-BE32-E72D297353CC}">
              <c16:uniqueId val="{00000000-100F-43B3-8220-4E1DF2510CEF}"/>
            </c:ext>
          </c:extLst>
        </c:ser>
        <c:ser>
          <c:idx val="1"/>
          <c:order val="1"/>
          <c:tx>
            <c:strRef>
              <c:f>'catch 4-19'!$A$245</c:f>
              <c:strCache>
                <c:ptCount val="1"/>
                <c:pt idx="0">
                  <c:v>Tempo růstu LT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'catch 4-19'!$C$240:$P$240</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'catch 4-19'!$C$245:$P$245</c:f>
              <c:numCache>
                <c:formatCode>General</c:formatCode>
                <c:ptCount val="14"/>
                <c:pt idx="0">
                  <c:v>1.0460552151895299</c:v>
                </c:pt>
                <c:pt idx="1">
                  <c:v>1.0130030480614698</c:v>
                </c:pt>
                <c:pt idx="2">
                  <c:v>1.0336447811897767</c:v>
                </c:pt>
                <c:pt idx="3">
                  <c:v>1.0343617212580125</c:v>
                </c:pt>
                <c:pt idx="4">
                  <c:v>1.0611142025358664</c:v>
                </c:pt>
                <c:pt idx="5">
                  <c:v>0.97180071910031074</c:v>
                </c:pt>
                <c:pt idx="6">
                  <c:v>0.98132247173052789</c:v>
                </c:pt>
                <c:pt idx="7">
                  <c:v>1.0321455510934394</c:v>
                </c:pt>
                <c:pt idx="8">
                  <c:v>1.0131264783936655</c:v>
                </c:pt>
                <c:pt idx="9">
                  <c:v>1.008968777917195</c:v>
                </c:pt>
                <c:pt idx="10">
                  <c:v>1.0075166477188087</c:v>
                </c:pt>
                <c:pt idx="11">
                  <c:v>0.98831801305105393</c:v>
                </c:pt>
                <c:pt idx="12">
                  <c:v>0.99444776896110298</c:v>
                </c:pt>
                <c:pt idx="13">
                  <c:v>1.0341105898875731</c:v>
                </c:pt>
              </c:numCache>
            </c:numRef>
          </c:val>
          <c:smooth val="0"/>
          <c:extLst>
            <c:ext xmlns:c16="http://schemas.microsoft.com/office/drawing/2014/chart" uri="{C3380CC4-5D6E-409C-BE32-E72D297353CC}">
              <c16:uniqueId val="{00000001-100F-43B3-8220-4E1DF2510CEF}"/>
            </c:ext>
          </c:extLst>
        </c:ser>
        <c:dLbls>
          <c:showLegendKey val="0"/>
          <c:showVal val="0"/>
          <c:showCatName val="0"/>
          <c:showSerName val="0"/>
          <c:showPercent val="0"/>
          <c:showBubbleSize val="0"/>
        </c:dLbls>
        <c:marker val="1"/>
        <c:smooth val="0"/>
        <c:axId val="682108808"/>
        <c:axId val="682108152"/>
      </c:lineChart>
      <c:catAx>
        <c:axId val="68210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2108152"/>
        <c:crosses val="autoZero"/>
        <c:auto val="1"/>
        <c:lblAlgn val="ctr"/>
        <c:lblOffset val="100"/>
        <c:noMultiLvlLbl val="0"/>
      </c:catAx>
      <c:valAx>
        <c:axId val="682108152"/>
        <c:scaling>
          <c:orientation val="minMax"/>
          <c:min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2108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zpracovatelského</a:t>
            </a:r>
            <a:r>
              <a:rPr lang="cs-CZ" baseline="0"/>
              <a:t> průmyslu</a:t>
            </a:r>
            <a:r>
              <a:rPr lang="cs-CZ"/>
              <a:t> na zaměstnanosti</a:t>
            </a:r>
            <a:r>
              <a:rPr lang="cs-CZ" baseline="0"/>
              <a:t> v %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272-40D0-B3A0-4FB31C9D2A0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5272-40D0-B3A0-4FB31C9D2A06}"/>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0-5272-40D0-B3A0-4FB31C9D2A0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5272-40D0-B3A0-4FB31C9D2A06}"/>
              </c:ext>
            </c:extLst>
          </c:dPt>
          <c:dPt>
            <c:idx val="8"/>
            <c:invertIfNegative val="0"/>
            <c:bubble3D val="0"/>
            <c:spPr>
              <a:solidFill>
                <a:schemeClr val="accent1">
                  <a:lumMod val="50000"/>
                </a:schemeClr>
              </a:solidFill>
              <a:ln>
                <a:noFill/>
              </a:ln>
              <a:effectLst/>
            </c:spPr>
            <c:extLst>
              <c:ext xmlns:c16="http://schemas.microsoft.com/office/drawing/2014/chart" uri="{C3380CC4-5D6E-409C-BE32-E72D297353CC}">
                <c16:uniqueId val="{0000000A-C337-4F71-A897-C774DBE44FB4}"/>
              </c:ext>
            </c:extLst>
          </c:dPt>
          <c:dPt>
            <c:idx val="14"/>
            <c:invertIfNegative val="0"/>
            <c:bubble3D val="0"/>
            <c:spPr>
              <a:solidFill>
                <a:srgbClr val="7030A0"/>
              </a:solidFill>
              <a:ln>
                <a:noFill/>
              </a:ln>
              <a:effectLst/>
            </c:spPr>
            <c:extLst>
              <c:ext xmlns:c16="http://schemas.microsoft.com/office/drawing/2014/chart" uri="{C3380CC4-5D6E-409C-BE32-E72D297353CC}">
                <c16:uniqueId val="{00000004-5272-40D0-B3A0-4FB31C9D2A06}"/>
              </c:ext>
            </c:extLst>
          </c:dPt>
          <c:cat>
            <c:strRef>
              <c:f>Data!$AF$12:$AF$40</c:f>
              <c:strCache>
                <c:ptCount val="29"/>
                <c:pt idx="0">
                  <c:v>Česko</c:v>
                </c:pt>
                <c:pt idx="1">
                  <c:v>Slovensko</c:v>
                </c:pt>
                <c:pt idx="2">
                  <c:v>Slovinsko</c:v>
                </c:pt>
                <c:pt idx="3">
                  <c:v>Polsko</c:v>
                </c:pt>
                <c:pt idx="4">
                  <c:v>Maďarsko</c:v>
                </c:pt>
                <c:pt idx="5">
                  <c:v>Estonsko</c:v>
                </c:pt>
                <c:pt idx="6">
                  <c:v>Rumunsko</c:v>
                </c:pt>
                <c:pt idx="7">
                  <c:v>Bulharsko</c:v>
                </c:pt>
                <c:pt idx="8">
                  <c:v>Německo </c:v>
                </c:pt>
                <c:pt idx="9">
                  <c:v>Chorvatsko</c:v>
                </c:pt>
                <c:pt idx="10">
                  <c:v>Portugalsko</c:v>
                </c:pt>
                <c:pt idx="11">
                  <c:v>Litva</c:v>
                </c:pt>
                <c:pt idx="12">
                  <c:v>Itálie</c:v>
                </c:pt>
                <c:pt idx="13">
                  <c:v>Rakousko</c:v>
                </c:pt>
                <c:pt idx="14">
                  <c:v>EU 28</c:v>
                </c:pt>
                <c:pt idx="15">
                  <c:v>Lotyšsko</c:v>
                </c:pt>
                <c:pt idx="16">
                  <c:v>Finsko</c:v>
                </c:pt>
                <c:pt idx="17">
                  <c:v>Švédsko</c:v>
                </c:pt>
                <c:pt idx="18">
                  <c:v>Belgie</c:v>
                </c:pt>
                <c:pt idx="19">
                  <c:v>Malta</c:v>
                </c:pt>
                <c:pt idx="20">
                  <c:v>Irsko</c:v>
                </c:pt>
                <c:pt idx="21">
                  <c:v>Španělsko</c:v>
                </c:pt>
                <c:pt idx="22">
                  <c:v>Dánsko</c:v>
                </c:pt>
                <c:pt idx="23">
                  <c:v>Francie</c:v>
                </c:pt>
                <c:pt idx="24">
                  <c:v>Nizozemsko</c:v>
                </c:pt>
                <c:pt idx="25">
                  <c:v>Kypr</c:v>
                </c:pt>
                <c:pt idx="26">
                  <c:v>Velká Británie </c:v>
                </c:pt>
                <c:pt idx="27">
                  <c:v>Řecko</c:v>
                </c:pt>
                <c:pt idx="28">
                  <c:v>Lucembursko</c:v>
                </c:pt>
              </c:strCache>
            </c:strRef>
          </c:cat>
          <c:val>
            <c:numRef>
              <c:f>Data!$AE$12:$AE$40</c:f>
              <c:numCache>
                <c:formatCode>0.00</c:formatCode>
                <c:ptCount val="29"/>
                <c:pt idx="0">
                  <c:v>26.713556988934084</c:v>
                </c:pt>
                <c:pt idx="1">
                  <c:v>22.027229292630331</c:v>
                </c:pt>
                <c:pt idx="2">
                  <c:v>20.752295130856709</c:v>
                </c:pt>
                <c:pt idx="3">
                  <c:v>20.409923636843097</c:v>
                </c:pt>
                <c:pt idx="4">
                  <c:v>18.803891285891027</c:v>
                </c:pt>
                <c:pt idx="5">
                  <c:v>18.737422415335782</c:v>
                </c:pt>
                <c:pt idx="6">
                  <c:v>18.486234251049925</c:v>
                </c:pt>
                <c:pt idx="7">
                  <c:v>17.475913558103919</c:v>
                </c:pt>
                <c:pt idx="8">
                  <c:v>17.229702236167498</c:v>
                </c:pt>
                <c:pt idx="9">
                  <c:v>17.0527424200192</c:v>
                </c:pt>
                <c:pt idx="10">
                  <c:v>15.619864144525247</c:v>
                </c:pt>
                <c:pt idx="11">
                  <c:v>15.532412718687382</c:v>
                </c:pt>
                <c:pt idx="12">
                  <c:v>15.526789096927279</c:v>
                </c:pt>
                <c:pt idx="13">
                  <c:v>14.581987966358009</c:v>
                </c:pt>
                <c:pt idx="14">
                  <c:v>13.694782539084329</c:v>
                </c:pt>
                <c:pt idx="15">
                  <c:v>13.399712441933234</c:v>
                </c:pt>
                <c:pt idx="16">
                  <c:v>13.143962848297214</c:v>
                </c:pt>
                <c:pt idx="17">
                  <c:v>11.275904918427065</c:v>
                </c:pt>
                <c:pt idx="18">
                  <c:v>10.602781940959535</c:v>
                </c:pt>
                <c:pt idx="19">
                  <c:v>10.43082677023771</c:v>
                </c:pt>
                <c:pt idx="20">
                  <c:v>10.333943305239822</c:v>
                </c:pt>
                <c:pt idx="21">
                  <c:v>10.006835397031249</c:v>
                </c:pt>
                <c:pt idx="22">
                  <c:v>9.9719004866013297</c:v>
                </c:pt>
                <c:pt idx="23">
                  <c:v>9.2628439511908347</c:v>
                </c:pt>
                <c:pt idx="24">
                  <c:v>8.4560425198222529</c:v>
                </c:pt>
                <c:pt idx="25">
                  <c:v>7.9778524116973104</c:v>
                </c:pt>
                <c:pt idx="26">
                  <c:v>7.8865286729561053</c:v>
                </c:pt>
                <c:pt idx="27">
                  <c:v>7.5240250273492943</c:v>
                </c:pt>
                <c:pt idx="28">
                  <c:v>7.4613666198383264</c:v>
                </c:pt>
              </c:numCache>
            </c:numRef>
          </c:val>
          <c:extLst>
            <c:ext xmlns:c16="http://schemas.microsoft.com/office/drawing/2014/chart" uri="{C3380CC4-5D6E-409C-BE32-E72D297353CC}">
              <c16:uniqueId val="{00000000-3F0D-40BB-918E-6345A7A20C97}"/>
            </c:ext>
          </c:extLst>
        </c:ser>
        <c:dLbls>
          <c:showLegendKey val="0"/>
          <c:showVal val="0"/>
          <c:showCatName val="0"/>
          <c:showSerName val="0"/>
          <c:showPercent val="0"/>
          <c:showBubbleSize val="0"/>
        </c:dLbls>
        <c:gapWidth val="219"/>
        <c:overlap val="-27"/>
        <c:axId val="577755400"/>
        <c:axId val="577757040"/>
      </c:barChart>
      <c:catAx>
        <c:axId val="57775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7757040"/>
        <c:crosses val="autoZero"/>
        <c:auto val="1"/>
        <c:lblAlgn val="ctr"/>
        <c:lblOffset val="100"/>
        <c:noMultiLvlLbl val="0"/>
      </c:catAx>
      <c:valAx>
        <c:axId val="57775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775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a:t>
            </a:r>
            <a:r>
              <a:rPr lang="cs-CZ"/>
              <a:t>měna CI 2018/2004</a:t>
            </a:r>
            <a:r>
              <a:rPr lang="cs-CZ" baseline="0"/>
              <a:t> v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'catch 4-19'!$C$255</c:f>
              <c:strCache>
                <c:ptCount val="1"/>
                <c:pt idx="0">
                  <c:v>CZ HT</c:v>
                </c:pt>
              </c:strCache>
            </c:strRef>
          </c:tx>
          <c:spPr>
            <a:solidFill>
              <a:schemeClr val="accent1"/>
            </a:solidFill>
            <a:ln>
              <a:noFill/>
            </a:ln>
            <a:effectLst/>
          </c:spPr>
          <c:invertIfNegative val="0"/>
          <c:val>
            <c:numRef>
              <c:f>'catch 4-19'!$C$256</c:f>
              <c:numCache>
                <c:formatCode>General</c:formatCode>
                <c:ptCount val="1"/>
                <c:pt idx="0">
                  <c:v>12.41657118230075</c:v>
                </c:pt>
              </c:numCache>
            </c:numRef>
          </c:val>
          <c:extLst>
            <c:ext xmlns:c16="http://schemas.microsoft.com/office/drawing/2014/chart" uri="{C3380CC4-5D6E-409C-BE32-E72D297353CC}">
              <c16:uniqueId val="{00000000-E777-4132-803F-9B48400BF523}"/>
            </c:ext>
          </c:extLst>
        </c:ser>
        <c:ser>
          <c:idx val="1"/>
          <c:order val="1"/>
          <c:tx>
            <c:strRef>
              <c:f>'catch 4-19'!$D$255</c:f>
              <c:strCache>
                <c:ptCount val="1"/>
                <c:pt idx="0">
                  <c:v>CZ LT</c:v>
                </c:pt>
              </c:strCache>
            </c:strRef>
          </c:tx>
          <c:spPr>
            <a:solidFill>
              <a:schemeClr val="accent2"/>
            </a:solidFill>
            <a:ln>
              <a:noFill/>
            </a:ln>
            <a:effectLst/>
          </c:spPr>
          <c:invertIfNegative val="0"/>
          <c:val>
            <c:numRef>
              <c:f>'catch 4-19'!$D$256</c:f>
              <c:numCache>
                <c:formatCode>General</c:formatCode>
                <c:ptCount val="1"/>
                <c:pt idx="0">
                  <c:v>7.8774122021424446</c:v>
                </c:pt>
              </c:numCache>
            </c:numRef>
          </c:val>
          <c:extLst>
            <c:ext xmlns:c16="http://schemas.microsoft.com/office/drawing/2014/chart" uri="{C3380CC4-5D6E-409C-BE32-E72D297353CC}">
              <c16:uniqueId val="{00000001-E777-4132-803F-9B48400BF523}"/>
            </c:ext>
          </c:extLst>
        </c:ser>
        <c:ser>
          <c:idx val="2"/>
          <c:order val="2"/>
          <c:tx>
            <c:strRef>
              <c:f>'catch 4-19'!$E$255</c:f>
              <c:strCache>
                <c:ptCount val="1"/>
                <c:pt idx="0">
                  <c:v>HU HT</c:v>
                </c:pt>
              </c:strCache>
            </c:strRef>
          </c:tx>
          <c:spPr>
            <a:solidFill>
              <a:schemeClr val="accent3"/>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3-E777-4132-803F-9B48400BF523}"/>
              </c:ext>
            </c:extLst>
          </c:dPt>
          <c:val>
            <c:numRef>
              <c:f>'catch 4-19'!$E$256</c:f>
              <c:numCache>
                <c:formatCode>General</c:formatCode>
                <c:ptCount val="1"/>
                <c:pt idx="0">
                  <c:v>-0.96982349817537283</c:v>
                </c:pt>
              </c:numCache>
            </c:numRef>
          </c:val>
          <c:extLst>
            <c:ext xmlns:c16="http://schemas.microsoft.com/office/drawing/2014/chart" uri="{C3380CC4-5D6E-409C-BE32-E72D297353CC}">
              <c16:uniqueId val="{00000004-E777-4132-803F-9B48400BF523}"/>
            </c:ext>
          </c:extLst>
        </c:ser>
        <c:ser>
          <c:idx val="3"/>
          <c:order val="3"/>
          <c:tx>
            <c:strRef>
              <c:f>'catch 4-19'!$F$255</c:f>
              <c:strCache>
                <c:ptCount val="1"/>
                <c:pt idx="0">
                  <c:v>HU LT</c:v>
                </c:pt>
              </c:strCache>
            </c:strRef>
          </c:tx>
          <c:spPr>
            <a:solidFill>
              <a:schemeClr val="accent4"/>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6-E777-4132-803F-9B48400BF523}"/>
              </c:ext>
            </c:extLst>
          </c:dPt>
          <c:val>
            <c:numRef>
              <c:f>'catch 4-19'!$F$256</c:f>
              <c:numCache>
                <c:formatCode>General</c:formatCode>
                <c:ptCount val="1"/>
                <c:pt idx="0">
                  <c:v>2.0632687926338704</c:v>
                </c:pt>
              </c:numCache>
            </c:numRef>
          </c:val>
          <c:extLst>
            <c:ext xmlns:c16="http://schemas.microsoft.com/office/drawing/2014/chart" uri="{C3380CC4-5D6E-409C-BE32-E72D297353CC}">
              <c16:uniqueId val="{00000007-E777-4132-803F-9B48400BF523}"/>
            </c:ext>
          </c:extLst>
        </c:ser>
        <c:ser>
          <c:idx val="4"/>
          <c:order val="4"/>
          <c:tx>
            <c:strRef>
              <c:f>'catch 4-19'!$G$255</c:f>
              <c:strCache>
                <c:ptCount val="1"/>
                <c:pt idx="0">
                  <c:v>PL HT</c:v>
                </c:pt>
              </c:strCache>
            </c:strRef>
          </c:tx>
          <c:spPr>
            <a:solidFill>
              <a:schemeClr val="accent1"/>
            </a:solidFill>
            <a:ln>
              <a:noFill/>
            </a:ln>
            <a:effectLst/>
          </c:spPr>
          <c:invertIfNegative val="0"/>
          <c:val>
            <c:numRef>
              <c:f>'catch 4-19'!$G$256</c:f>
              <c:numCache>
                <c:formatCode>General</c:formatCode>
                <c:ptCount val="1"/>
                <c:pt idx="0">
                  <c:v>12.287650970023753</c:v>
                </c:pt>
              </c:numCache>
            </c:numRef>
          </c:val>
          <c:extLst>
            <c:ext xmlns:c16="http://schemas.microsoft.com/office/drawing/2014/chart" uri="{C3380CC4-5D6E-409C-BE32-E72D297353CC}">
              <c16:uniqueId val="{00000008-E777-4132-803F-9B48400BF523}"/>
            </c:ext>
          </c:extLst>
        </c:ser>
        <c:ser>
          <c:idx val="5"/>
          <c:order val="5"/>
          <c:tx>
            <c:strRef>
              <c:f>'catch 4-19'!$H$255</c:f>
              <c:strCache>
                <c:ptCount val="1"/>
                <c:pt idx="0">
                  <c:v>PL LT</c:v>
                </c:pt>
              </c:strCache>
            </c:strRef>
          </c:tx>
          <c:spPr>
            <a:solidFill>
              <a:schemeClr val="accent2"/>
            </a:solidFill>
            <a:ln>
              <a:noFill/>
            </a:ln>
            <a:effectLst/>
          </c:spPr>
          <c:invertIfNegative val="0"/>
          <c:val>
            <c:numRef>
              <c:f>'catch 4-19'!$H$256</c:f>
              <c:numCache>
                <c:formatCode>General</c:formatCode>
                <c:ptCount val="1"/>
                <c:pt idx="0">
                  <c:v>11.926399280410365</c:v>
                </c:pt>
              </c:numCache>
            </c:numRef>
          </c:val>
          <c:extLst>
            <c:ext xmlns:c16="http://schemas.microsoft.com/office/drawing/2014/chart" uri="{C3380CC4-5D6E-409C-BE32-E72D297353CC}">
              <c16:uniqueId val="{00000009-E777-4132-803F-9B48400BF523}"/>
            </c:ext>
          </c:extLst>
        </c:ser>
        <c:ser>
          <c:idx val="6"/>
          <c:order val="6"/>
          <c:tx>
            <c:strRef>
              <c:f>'catch 4-19'!$I$255</c:f>
              <c:strCache>
                <c:ptCount val="1"/>
                <c:pt idx="0">
                  <c:v>SK HT</c:v>
                </c:pt>
              </c:strCache>
            </c:strRef>
          </c:tx>
          <c:spPr>
            <a:solidFill>
              <a:schemeClr val="accent1"/>
            </a:solidFill>
            <a:ln>
              <a:noFill/>
            </a:ln>
            <a:effectLst/>
          </c:spPr>
          <c:invertIfNegative val="0"/>
          <c:val>
            <c:numRef>
              <c:f>'catch 4-19'!$I$256</c:f>
              <c:numCache>
                <c:formatCode>General</c:formatCode>
                <c:ptCount val="1"/>
                <c:pt idx="0">
                  <c:v>17.792789428478763</c:v>
                </c:pt>
              </c:numCache>
            </c:numRef>
          </c:val>
          <c:extLst>
            <c:ext xmlns:c16="http://schemas.microsoft.com/office/drawing/2014/chart" uri="{C3380CC4-5D6E-409C-BE32-E72D297353CC}">
              <c16:uniqueId val="{0000000A-E777-4132-803F-9B48400BF523}"/>
            </c:ext>
          </c:extLst>
        </c:ser>
        <c:ser>
          <c:idx val="7"/>
          <c:order val="7"/>
          <c:tx>
            <c:strRef>
              <c:f>'catch 4-19'!$J$255</c:f>
              <c:strCache>
                <c:ptCount val="1"/>
                <c:pt idx="0">
                  <c:v>SK LT</c:v>
                </c:pt>
              </c:strCache>
            </c:strRef>
          </c:tx>
          <c:spPr>
            <a:solidFill>
              <a:schemeClr val="accent2"/>
            </a:solidFill>
            <a:ln>
              <a:noFill/>
            </a:ln>
            <a:effectLst/>
          </c:spPr>
          <c:invertIfNegative val="0"/>
          <c:val>
            <c:numRef>
              <c:f>'catch 4-19'!$J$256</c:f>
              <c:numCache>
                <c:formatCode>General</c:formatCode>
                <c:ptCount val="1"/>
                <c:pt idx="0">
                  <c:v>11.11159690237799</c:v>
                </c:pt>
              </c:numCache>
            </c:numRef>
          </c:val>
          <c:extLst>
            <c:ext xmlns:c16="http://schemas.microsoft.com/office/drawing/2014/chart" uri="{C3380CC4-5D6E-409C-BE32-E72D297353CC}">
              <c16:uniqueId val="{0000000B-E777-4132-803F-9B48400BF523}"/>
            </c:ext>
          </c:extLst>
        </c:ser>
        <c:dLbls>
          <c:showLegendKey val="0"/>
          <c:showVal val="0"/>
          <c:showCatName val="0"/>
          <c:showSerName val="0"/>
          <c:showPercent val="0"/>
          <c:showBubbleSize val="0"/>
        </c:dLbls>
        <c:gapWidth val="219"/>
        <c:overlap val="-27"/>
        <c:axId val="450338984"/>
        <c:axId val="450343248"/>
      </c:barChart>
      <c:catAx>
        <c:axId val="450338984"/>
        <c:scaling>
          <c:orientation val="minMax"/>
        </c:scaling>
        <c:delete val="1"/>
        <c:axPos val="b"/>
        <c:numFmt formatCode="General" sourceLinked="1"/>
        <c:majorTickMark val="none"/>
        <c:minorTickMark val="none"/>
        <c:tickLblPos val="nextTo"/>
        <c:crossAx val="450343248"/>
        <c:crosses val="autoZero"/>
        <c:auto val="1"/>
        <c:lblAlgn val="ctr"/>
        <c:lblOffset val="100"/>
        <c:noMultiLvlLbl val="0"/>
      </c:catAx>
      <c:valAx>
        <c:axId val="45034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0338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5.0925925925925923E-2"/>
          <c:w val="0.91444685039370077"/>
          <c:h val="0.841674686497521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FD3-4875-991F-22766A14E48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FD3-4875-991F-22766A14E48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FD3-4875-991F-22766A14E48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FD3-4875-991F-22766A14E48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FD3-4875-991F-22766A14E48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FD3-4875-991F-22766A14E489}"/>
              </c:ext>
            </c:extLst>
          </c:dPt>
          <c:cat>
            <c:strRef>
              <c:f>'tabulka man'!$M$188:$M$193</c:f>
              <c:strCache>
                <c:ptCount val="6"/>
                <c:pt idx="0">
                  <c:v>Česko</c:v>
                </c:pt>
                <c:pt idx="1">
                  <c:v>Maďarsko</c:v>
                </c:pt>
                <c:pt idx="2">
                  <c:v>Polsko</c:v>
                </c:pt>
                <c:pt idx="3">
                  <c:v>Slovensko </c:v>
                </c:pt>
                <c:pt idx="4">
                  <c:v>EU 28</c:v>
                </c:pt>
                <c:pt idx="5">
                  <c:v>Německo</c:v>
                </c:pt>
              </c:strCache>
            </c:strRef>
          </c:cat>
          <c:val>
            <c:numRef>
              <c:f>'tabulka man'!$N$188:$N$193</c:f>
              <c:numCache>
                <c:formatCode>General</c:formatCode>
                <c:ptCount val="6"/>
                <c:pt idx="0">
                  <c:v>1.0589195562743472</c:v>
                </c:pt>
                <c:pt idx="1">
                  <c:v>1.0215525630386912</c:v>
                </c:pt>
                <c:pt idx="2">
                  <c:v>1.07027256257786</c:v>
                </c:pt>
                <c:pt idx="3">
                  <c:v>1.0745860644493583</c:v>
                </c:pt>
                <c:pt idx="4">
                  <c:v>1.0152545850570027</c:v>
                </c:pt>
                <c:pt idx="5">
                  <c:v>1.0206876529626596</c:v>
                </c:pt>
              </c:numCache>
            </c:numRef>
          </c:val>
          <c:extLst>
            <c:ext xmlns:c16="http://schemas.microsoft.com/office/drawing/2014/chart" uri="{C3380CC4-5D6E-409C-BE32-E72D297353CC}">
              <c16:uniqueId val="{00000000-AB73-4EAC-8E38-3EE0A2E4CEF3}"/>
            </c:ext>
          </c:extLst>
        </c:ser>
        <c:dLbls>
          <c:showLegendKey val="0"/>
          <c:showVal val="0"/>
          <c:showCatName val="0"/>
          <c:showSerName val="0"/>
          <c:showPercent val="0"/>
          <c:showBubbleSize val="0"/>
        </c:dLbls>
        <c:gapWidth val="219"/>
        <c:overlap val="-27"/>
        <c:axId val="1642574175"/>
        <c:axId val="1642550879"/>
      </c:barChart>
      <c:catAx>
        <c:axId val="164257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550879"/>
        <c:crosses val="autoZero"/>
        <c:auto val="1"/>
        <c:lblAlgn val="ctr"/>
        <c:lblOffset val="100"/>
        <c:noMultiLvlLbl val="0"/>
      </c:catAx>
      <c:valAx>
        <c:axId val="164255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574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Produktivita práce</c:v>
          </c:tx>
          <c:spPr>
            <a:ln w="28575" cap="rnd">
              <a:solidFill>
                <a:schemeClr val="accent1"/>
              </a:solidFill>
              <a:round/>
            </a:ln>
            <a:effectLst/>
          </c:spPr>
          <c:marker>
            <c:symbol val="none"/>
          </c:marker>
          <c:cat>
            <c:strRef>
              <c:f>List1!$B$12:$B$15</c:f>
              <c:strCache>
                <c:ptCount val="4"/>
                <c:pt idx="1">
                  <c:v>2004</c:v>
                </c:pt>
                <c:pt idx="2">
                  <c:v>44.55</c:v>
                </c:pt>
                <c:pt idx="3">
                  <c:v>54.29</c:v>
                </c:pt>
              </c:strCache>
            </c:strRef>
          </c:cat>
          <c:val>
            <c:numRef>
              <c:f>List1!$C$12:$C$15</c:f>
              <c:numCache>
                <c:formatCode>General</c:formatCode>
                <c:ptCount val="4"/>
                <c:pt idx="1">
                  <c:v>0</c:v>
                </c:pt>
                <c:pt idx="2" formatCode="#,##0.00">
                  <c:v>50.029795892107508</c:v>
                </c:pt>
                <c:pt idx="3" formatCode="#,##0.00">
                  <c:v>59.146586096733451</c:v>
                </c:pt>
              </c:numCache>
            </c:numRef>
          </c:val>
          <c:extLst>
            <c:ext xmlns:c16="http://schemas.microsoft.com/office/drawing/2014/chart" uri="{C3380CC4-5D6E-409C-BE32-E72D297353CC}">
              <c16:uniqueId val="{00000000-9A8F-4A0C-8E01-7B2D54295327}"/>
            </c:ext>
          </c:extLst>
        </c:ser>
        <c:ser>
          <c:idx val="1"/>
          <c:order val="1"/>
          <c:tx>
            <c:v>Produktivita kapitálu </c:v>
          </c:tx>
          <c:spPr>
            <a:ln w="28575" cap="rnd">
              <a:solidFill>
                <a:schemeClr val="accent2"/>
              </a:solidFill>
              <a:round/>
            </a:ln>
            <a:effectLst/>
          </c:spPr>
          <c:marker>
            <c:symbol val="none"/>
          </c:marker>
          <c:val>
            <c:numRef>
              <c:f>List1!$G$12:$G$15</c:f>
              <c:numCache>
                <c:formatCode>General</c:formatCode>
                <c:ptCount val="4"/>
              </c:numCache>
            </c:numRef>
          </c:val>
          <c:extLst>
            <c:ext xmlns:c16="http://schemas.microsoft.com/office/drawing/2014/chart" uri="{C3380CC4-5D6E-409C-BE32-E72D297353CC}">
              <c16:uniqueId val="{00000001-9A8F-4A0C-8E01-7B2D54295327}"/>
            </c:ext>
          </c:extLst>
        </c:ser>
        <c:dLbls>
          <c:showLegendKey val="0"/>
          <c:showVal val="0"/>
          <c:showCatName val="0"/>
          <c:showSerName val="0"/>
          <c:showPercent val="0"/>
          <c:showBubbleSize val="0"/>
        </c:dLbls>
        <c:axId val="1277184239"/>
        <c:axId val="1343929487"/>
      </c:radarChart>
      <c:catAx>
        <c:axId val="127718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43929487"/>
        <c:crosses val="autoZero"/>
        <c:auto val="1"/>
        <c:lblAlgn val="ctr"/>
        <c:lblOffset val="100"/>
        <c:noMultiLvlLbl val="0"/>
      </c:catAx>
      <c:valAx>
        <c:axId val="1343929487"/>
        <c:scaling>
          <c:orientation val="minMax"/>
          <c:max val="1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71842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LP</c:v>
                </c:pt>
              </c:strCache>
            </c:strRef>
          </c:tx>
          <c:spPr>
            <a:solidFill>
              <a:schemeClr val="accent1"/>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List1!$B$2:$B$7</c:f>
              <c:numCache>
                <c:formatCode>General</c:formatCode>
                <c:ptCount val="6"/>
                <c:pt idx="0">
                  <c:v>1.05</c:v>
                </c:pt>
                <c:pt idx="1">
                  <c:v>1.03</c:v>
                </c:pt>
                <c:pt idx="2">
                  <c:v>1.05</c:v>
                </c:pt>
                <c:pt idx="3">
                  <c:v>1.07</c:v>
                </c:pt>
                <c:pt idx="4">
                  <c:v>1.02</c:v>
                </c:pt>
                <c:pt idx="5">
                  <c:v>1.02</c:v>
                </c:pt>
              </c:numCache>
            </c:numRef>
          </c:val>
          <c:extLst>
            <c:ext xmlns:c16="http://schemas.microsoft.com/office/drawing/2014/chart" uri="{C3380CC4-5D6E-409C-BE32-E72D297353CC}">
              <c16:uniqueId val="{00000000-12A2-42B6-8BA6-7A64B6473090}"/>
            </c:ext>
          </c:extLst>
        </c:ser>
        <c:ser>
          <c:idx val="1"/>
          <c:order val="1"/>
          <c:tx>
            <c:strRef>
              <c:f>List1!$C$1</c:f>
              <c:strCache>
                <c:ptCount val="1"/>
                <c:pt idx="0">
                  <c:v>CP</c:v>
                </c:pt>
              </c:strCache>
            </c:strRef>
          </c:tx>
          <c:spPr>
            <a:solidFill>
              <a:schemeClr val="accent2"/>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List1!$C$2:$C$7</c:f>
              <c:numCache>
                <c:formatCode>General</c:formatCode>
                <c:ptCount val="6"/>
                <c:pt idx="0">
                  <c:v>1.03</c:v>
                </c:pt>
                <c:pt idx="1">
                  <c:v>0.97</c:v>
                </c:pt>
                <c:pt idx="2">
                  <c:v>1.01</c:v>
                </c:pt>
                <c:pt idx="3">
                  <c:v>1.06</c:v>
                </c:pt>
                <c:pt idx="4">
                  <c:v>1</c:v>
                </c:pt>
                <c:pt idx="5">
                  <c:v>0.99</c:v>
                </c:pt>
              </c:numCache>
            </c:numRef>
          </c:val>
          <c:extLst>
            <c:ext xmlns:c16="http://schemas.microsoft.com/office/drawing/2014/chart" uri="{C3380CC4-5D6E-409C-BE32-E72D297353CC}">
              <c16:uniqueId val="{00000001-12A2-42B6-8BA6-7A64B6473090}"/>
            </c:ext>
          </c:extLst>
        </c:ser>
        <c:ser>
          <c:idx val="2"/>
          <c:order val="2"/>
          <c:tx>
            <c:strRef>
              <c:f>List1!$D$1</c:f>
              <c:strCache>
                <c:ptCount val="1"/>
                <c:pt idx="0">
                  <c:v>TFP</c:v>
                </c:pt>
              </c:strCache>
            </c:strRef>
          </c:tx>
          <c:spPr>
            <a:solidFill>
              <a:schemeClr val="accent3"/>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List1!$D$2:$D$7</c:f>
              <c:numCache>
                <c:formatCode>General</c:formatCode>
                <c:ptCount val="6"/>
                <c:pt idx="0">
                  <c:v>1.04</c:v>
                </c:pt>
                <c:pt idx="1">
                  <c:v>1</c:v>
                </c:pt>
                <c:pt idx="2">
                  <c:v>1.03</c:v>
                </c:pt>
                <c:pt idx="3">
                  <c:v>1.06</c:v>
                </c:pt>
                <c:pt idx="4">
                  <c:v>1.01</c:v>
                </c:pt>
                <c:pt idx="5">
                  <c:v>1.01</c:v>
                </c:pt>
              </c:numCache>
            </c:numRef>
          </c:val>
          <c:extLst>
            <c:ext xmlns:c16="http://schemas.microsoft.com/office/drawing/2014/chart" uri="{C3380CC4-5D6E-409C-BE32-E72D297353CC}">
              <c16:uniqueId val="{00000002-12A2-42B6-8BA6-7A64B6473090}"/>
            </c:ext>
          </c:extLst>
        </c:ser>
        <c:ser>
          <c:idx val="3"/>
          <c:order val="3"/>
          <c:tx>
            <c:strRef>
              <c:f>List1!$E$1</c:f>
              <c:strCache>
                <c:ptCount val="1"/>
                <c:pt idx="0">
                  <c:v>C-L ratio</c:v>
                </c:pt>
              </c:strCache>
            </c:strRef>
          </c:tx>
          <c:spPr>
            <a:solidFill>
              <a:schemeClr val="accent4"/>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List1!$E$2:$E$7</c:f>
              <c:numCache>
                <c:formatCode>General</c:formatCode>
                <c:ptCount val="6"/>
                <c:pt idx="0">
                  <c:v>1.03</c:v>
                </c:pt>
                <c:pt idx="1">
                  <c:v>0.97</c:v>
                </c:pt>
                <c:pt idx="2">
                  <c:v>1.01</c:v>
                </c:pt>
                <c:pt idx="3">
                  <c:v>1.06</c:v>
                </c:pt>
                <c:pt idx="4">
                  <c:v>1</c:v>
                </c:pt>
                <c:pt idx="5">
                  <c:v>0.99</c:v>
                </c:pt>
              </c:numCache>
            </c:numRef>
          </c:val>
          <c:extLst>
            <c:ext xmlns:c16="http://schemas.microsoft.com/office/drawing/2014/chart" uri="{C3380CC4-5D6E-409C-BE32-E72D297353CC}">
              <c16:uniqueId val="{00000003-12A2-42B6-8BA6-7A64B6473090}"/>
            </c:ext>
          </c:extLst>
        </c:ser>
        <c:dLbls>
          <c:showLegendKey val="0"/>
          <c:showVal val="0"/>
          <c:showCatName val="0"/>
          <c:showSerName val="0"/>
          <c:showPercent val="0"/>
          <c:showBubbleSize val="0"/>
        </c:dLbls>
        <c:gapWidth val="219"/>
        <c:overlap val="-27"/>
        <c:axId val="1741323871"/>
        <c:axId val="1741325951"/>
      </c:barChart>
      <c:catAx>
        <c:axId val="174132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1325951"/>
        <c:crosses val="autoZero"/>
        <c:auto val="1"/>
        <c:lblAlgn val="ctr"/>
        <c:lblOffset val="100"/>
        <c:noMultiLvlLbl val="0"/>
      </c:catAx>
      <c:valAx>
        <c:axId val="174132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13238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75027445786802E-2"/>
          <c:y val="3.2209906882658776E-2"/>
          <c:w val="0.90587875061301815"/>
          <c:h val="0.8434920953352168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'[nama_10_gdp (2).xls]Data'!$C$10:$S$10</c:f>
              <c:strCach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strCache>
            </c:strRef>
          </c:cat>
          <c:val>
            <c:numRef>
              <c:f>'[nama_10_gdp (2).xls]Data'!$C$12:$S$12</c:f>
              <c:numCache>
                <c:formatCode>General</c:formatCode>
                <c:ptCount val="17"/>
                <c:pt idx="0">
                  <c:v>0.99377570961457062</c:v>
                </c:pt>
                <c:pt idx="1">
                  <c:v>1.0163081976547776</c:v>
                </c:pt>
                <c:pt idx="2">
                  <c:v>1.0098</c:v>
                </c:pt>
                <c:pt idx="3">
                  <c:v>1.0388035581490453</c:v>
                </c:pt>
                <c:pt idx="4">
                  <c:v>1.035464127010975</c:v>
                </c:pt>
                <c:pt idx="5">
                  <c:v>1.0105218153101965</c:v>
                </c:pt>
                <c:pt idx="6">
                  <c:v>0.93784528129413813</c:v>
                </c:pt>
                <c:pt idx="7">
                  <c:v>1.0436161902716028</c:v>
                </c:pt>
                <c:pt idx="8">
                  <c:v>1.0386452349931734</c:v>
                </c:pt>
                <c:pt idx="9">
                  <c:v>1.0053302846010108</c:v>
                </c:pt>
                <c:pt idx="10">
                  <c:v>1.0065</c:v>
                </c:pt>
                <c:pt idx="11">
                  <c:v>1.0225602747810747</c:v>
                </c:pt>
                <c:pt idx="12">
                  <c:v>1.016</c:v>
                </c:pt>
                <c:pt idx="13">
                  <c:v>1.0225000175795123</c:v>
                </c:pt>
                <c:pt idx="14">
                  <c:v>1.0279706483499016</c:v>
                </c:pt>
                <c:pt idx="15">
                  <c:v>1.0109409165419427</c:v>
                </c:pt>
                <c:pt idx="16">
                  <c:v>1.0098814255999784</c:v>
                </c:pt>
              </c:numCache>
            </c:numRef>
          </c:val>
          <c:smooth val="0"/>
          <c:extLst>
            <c:ext xmlns:c16="http://schemas.microsoft.com/office/drawing/2014/chart" uri="{C3380CC4-5D6E-409C-BE32-E72D297353CC}">
              <c16:uniqueId val="{00000000-E384-467F-A03D-7704A513EAE2}"/>
            </c:ext>
          </c:extLst>
        </c:ser>
        <c:dLbls>
          <c:showLegendKey val="0"/>
          <c:showVal val="0"/>
          <c:showCatName val="0"/>
          <c:showSerName val="0"/>
          <c:showPercent val="0"/>
          <c:showBubbleSize val="0"/>
        </c:dLbls>
        <c:marker val="1"/>
        <c:smooth val="0"/>
        <c:axId val="1955010351"/>
        <c:axId val="1955005775"/>
      </c:lineChart>
      <c:catAx>
        <c:axId val="1955010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crossAx val="1955005775"/>
        <c:crosses val="autoZero"/>
        <c:auto val="1"/>
        <c:lblAlgn val="ctr"/>
        <c:lblOffset val="100"/>
        <c:noMultiLvlLbl val="0"/>
      </c:catAx>
      <c:valAx>
        <c:axId val="1955005775"/>
        <c:scaling>
          <c:orientation val="minMax"/>
          <c:min val="0.9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crossAx val="1955010351"/>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cs-CZ"/>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v aplikaci Microsoft Word]List1'!$A$134</c:f>
              <c:strCache>
                <c:ptCount val="1"/>
                <c:pt idx="0">
                  <c:v>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'[Graf v aplikaci Microsoft Word]List1'!$B$129:$F$129</c:f>
              <c:strCache>
                <c:ptCount val="5"/>
                <c:pt idx="0">
                  <c:v>2004-2006</c:v>
                </c:pt>
                <c:pt idx="1">
                  <c:v>2007-2009</c:v>
                </c:pt>
                <c:pt idx="2">
                  <c:v>2010-2013</c:v>
                </c:pt>
                <c:pt idx="3">
                  <c:v>2014-2017</c:v>
                </c:pt>
                <c:pt idx="4">
                  <c:v>2018-2019</c:v>
                </c:pt>
              </c:strCache>
            </c:strRef>
          </c:cat>
          <c:val>
            <c:numRef>
              <c:f>'[Graf v aplikaci Microsoft Word]List1'!$B$134:$F$134</c:f>
              <c:numCache>
                <c:formatCode>General</c:formatCode>
                <c:ptCount val="5"/>
                <c:pt idx="0">
                  <c:v>1.0561177391857977</c:v>
                </c:pt>
                <c:pt idx="1">
                  <c:v>0.9356216610821616</c:v>
                </c:pt>
                <c:pt idx="2">
                  <c:v>1.0506874854239192</c:v>
                </c:pt>
                <c:pt idx="3">
                  <c:v>1.0151795989375205</c:v>
                </c:pt>
                <c:pt idx="4">
                  <c:v>0.96629035988966416</c:v>
                </c:pt>
              </c:numCache>
            </c:numRef>
          </c:val>
          <c:smooth val="0"/>
          <c:extLst>
            <c:ext xmlns:c16="http://schemas.microsoft.com/office/drawing/2014/chart" uri="{C3380CC4-5D6E-409C-BE32-E72D297353CC}">
              <c16:uniqueId val="{00000000-EE35-4B96-ACB0-F1F2C093E4A6}"/>
            </c:ext>
          </c:extLst>
        </c:ser>
        <c:ser>
          <c:idx val="1"/>
          <c:order val="1"/>
          <c:tx>
            <c:strRef>
              <c:f>'[Graf v aplikaci Microsoft Word]List1'!$A$135</c:f>
              <c:strCache>
                <c:ptCount val="1"/>
                <c:pt idx="0">
                  <c:v>V4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'[Graf v aplikaci Microsoft Word]List1'!$B$129:$F$129</c:f>
              <c:strCache>
                <c:ptCount val="5"/>
                <c:pt idx="0">
                  <c:v>2004-2006</c:v>
                </c:pt>
                <c:pt idx="1">
                  <c:v>2007-2009</c:v>
                </c:pt>
                <c:pt idx="2">
                  <c:v>2010-2013</c:v>
                </c:pt>
                <c:pt idx="3">
                  <c:v>2014-2017</c:v>
                </c:pt>
                <c:pt idx="4">
                  <c:v>2018-2019</c:v>
                </c:pt>
              </c:strCache>
            </c:strRef>
          </c:cat>
          <c:val>
            <c:numRef>
              <c:f>'[Graf v aplikaci Microsoft Word]List1'!$B$135:$F$135</c:f>
              <c:numCache>
                <c:formatCode>General</c:formatCode>
                <c:ptCount val="5"/>
                <c:pt idx="0">
                  <c:v>1.0679966483917518</c:v>
                </c:pt>
                <c:pt idx="1">
                  <c:v>1.03996806980527</c:v>
                </c:pt>
                <c:pt idx="2">
                  <c:v>1.0293834248277722</c:v>
                </c:pt>
                <c:pt idx="3">
                  <c:v>1.0045466033594053</c:v>
                </c:pt>
                <c:pt idx="4">
                  <c:v>1.0060344604576379</c:v>
                </c:pt>
              </c:numCache>
            </c:numRef>
          </c:val>
          <c:smooth val="0"/>
          <c:extLst>
            <c:ext xmlns:c16="http://schemas.microsoft.com/office/drawing/2014/chart" uri="{C3380CC4-5D6E-409C-BE32-E72D297353CC}">
              <c16:uniqueId val="{00000001-EE35-4B96-ACB0-F1F2C093E4A6}"/>
            </c:ext>
          </c:extLst>
        </c:ser>
        <c:dLbls>
          <c:showLegendKey val="0"/>
          <c:showVal val="0"/>
          <c:showCatName val="0"/>
          <c:showSerName val="0"/>
          <c:showPercent val="0"/>
          <c:showBubbleSize val="0"/>
        </c:dLbls>
        <c:marker val="1"/>
        <c:smooth val="0"/>
        <c:axId val="1960076559"/>
        <c:axId val="1960087791"/>
      </c:lineChart>
      <c:catAx>
        <c:axId val="196007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1960087791"/>
        <c:crosses val="autoZero"/>
        <c:auto val="1"/>
        <c:lblAlgn val="ctr"/>
        <c:lblOffset val="100"/>
        <c:noMultiLvlLbl val="0"/>
      </c:catAx>
      <c:valAx>
        <c:axId val="1960087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cs-CZ"/>
          </a:p>
        </c:txPr>
        <c:crossAx val="19600765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Extenizivní</a:t>
            </a:r>
            <a:r>
              <a:rPr lang="cs-CZ" baseline="0"/>
              <a:t> zdroje růstu </a:t>
            </a:r>
            <a:endParaRPr lang="cs-CZ"/>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[nama_10_gdp.xls]List2!$A$20</c:f>
              <c:strCache>
                <c:ptCount val="1"/>
                <c:pt idx="0">
                  <c:v>V4</c:v>
                </c:pt>
              </c:strCache>
            </c:strRef>
          </c:tx>
          <c:spPr>
            <a:solidFill>
              <a:schemeClr val="accent1"/>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[nama_10_gdp.xls]List2!$B$20:$F$20</c:f>
              <c:numCache>
                <c:formatCode>0.00</c:formatCode>
                <c:ptCount val="5"/>
                <c:pt idx="0">
                  <c:v>0.3416567373555997</c:v>
                </c:pt>
                <c:pt idx="1">
                  <c:v>-2.7006024605728398E-2</c:v>
                </c:pt>
                <c:pt idx="2">
                  <c:v>0.17221209881556931</c:v>
                </c:pt>
                <c:pt idx="3">
                  <c:v>0.56929449794629416</c:v>
                </c:pt>
                <c:pt idx="4">
                  <c:v>0.41740180464507165</c:v>
                </c:pt>
              </c:numCache>
            </c:numRef>
          </c:val>
          <c:extLst>
            <c:ext xmlns:c16="http://schemas.microsoft.com/office/drawing/2014/chart" uri="{C3380CC4-5D6E-409C-BE32-E72D297353CC}">
              <c16:uniqueId val="{00000000-5189-4602-A4FE-EF23F3F28265}"/>
            </c:ext>
          </c:extLst>
        </c:ser>
        <c:ser>
          <c:idx val="1"/>
          <c:order val="1"/>
          <c:tx>
            <c:strRef>
              <c:f>[nama_10_gdp.xls]List2!$A$21</c:f>
              <c:strCache>
                <c:ptCount val="1"/>
                <c:pt idx="0">
                  <c:v>GE</c:v>
                </c:pt>
              </c:strCache>
            </c:strRef>
          </c:tx>
          <c:spPr>
            <a:solidFill>
              <a:schemeClr val="accent2"/>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[nama_10_gdp.xls]List2!$B$21:$F$21</c:f>
              <c:numCache>
                <c:formatCode>0.00</c:formatCode>
                <c:ptCount val="5"/>
                <c:pt idx="0">
                  <c:v>-0.15894815368202531</c:v>
                </c:pt>
                <c:pt idx="1">
                  <c:v>0.33852018411194013</c:v>
                </c:pt>
                <c:pt idx="2">
                  <c:v>0.10070792154697367</c:v>
                </c:pt>
                <c:pt idx="3">
                  <c:v>0.5524203079966008</c:v>
                </c:pt>
                <c:pt idx="4">
                  <c:v>0.35009671295606321</c:v>
                </c:pt>
              </c:numCache>
            </c:numRef>
          </c:val>
          <c:extLst>
            <c:ext xmlns:c16="http://schemas.microsoft.com/office/drawing/2014/chart" uri="{C3380CC4-5D6E-409C-BE32-E72D297353CC}">
              <c16:uniqueId val="{00000001-5189-4602-A4FE-EF23F3F28265}"/>
            </c:ext>
          </c:extLst>
        </c:ser>
        <c:ser>
          <c:idx val="2"/>
          <c:order val="2"/>
          <c:tx>
            <c:strRef>
              <c:f>[nama_10_gdp.xls]List2!$A$22</c:f>
              <c:strCache>
                <c:ptCount val="1"/>
                <c:pt idx="0">
                  <c:v>EU-28</c:v>
                </c:pt>
              </c:strCache>
            </c:strRef>
          </c:tx>
          <c:spPr>
            <a:solidFill>
              <a:schemeClr val="accent3"/>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[nama_10_gdp.xls]List2!$B$22:$F$22</c:f>
              <c:numCache>
                <c:formatCode>0.00</c:formatCode>
                <c:ptCount val="5"/>
                <c:pt idx="0">
                  <c:v>0.15235376832674921</c:v>
                </c:pt>
                <c:pt idx="1">
                  <c:v>0.10695224501375249</c:v>
                </c:pt>
                <c:pt idx="2">
                  <c:v>-3.0682063713457497E-3</c:v>
                </c:pt>
                <c:pt idx="3">
                  <c:v>0.52707890285239278</c:v>
                </c:pt>
                <c:pt idx="4">
                  <c:v>0.47538916667927178</c:v>
                </c:pt>
              </c:numCache>
            </c:numRef>
          </c:val>
          <c:extLst>
            <c:ext xmlns:c16="http://schemas.microsoft.com/office/drawing/2014/chart" uri="{C3380CC4-5D6E-409C-BE32-E72D297353CC}">
              <c16:uniqueId val="{00000002-5189-4602-A4FE-EF23F3F28265}"/>
            </c:ext>
          </c:extLst>
        </c:ser>
        <c:dLbls>
          <c:showLegendKey val="0"/>
          <c:showVal val="0"/>
          <c:showCatName val="0"/>
          <c:showSerName val="0"/>
          <c:showPercent val="0"/>
          <c:showBubbleSize val="0"/>
        </c:dLbls>
        <c:gapWidth val="182"/>
        <c:axId val="269039167"/>
        <c:axId val="269042495"/>
      </c:barChart>
      <c:catAx>
        <c:axId val="269039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9042495"/>
        <c:crosses val="autoZero"/>
        <c:auto val="1"/>
        <c:lblAlgn val="ctr"/>
        <c:lblOffset val="100"/>
        <c:noMultiLvlLbl val="0"/>
      </c:catAx>
      <c:valAx>
        <c:axId val="269042495"/>
        <c:scaling>
          <c:orientation val="minMax"/>
        </c:scaling>
        <c:delete val="0"/>
        <c:axPos val="b"/>
        <c:majorGridlines>
          <c:spPr>
            <a:ln w="9525" cap="flat" cmpd="sng" algn="ctr">
              <a:no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90391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a:t>
            </a:r>
            <a:r>
              <a:rPr lang="cs-CZ"/>
              <a:t>ntezivní zdroje růstu</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[nama_10_gdp.xls]List2!$A$25</c:f>
              <c:strCache>
                <c:ptCount val="1"/>
                <c:pt idx="0">
                  <c:v>V4</c:v>
                </c:pt>
              </c:strCache>
            </c:strRef>
          </c:tx>
          <c:spPr>
            <a:solidFill>
              <a:schemeClr val="accent1"/>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[nama_10_gdp.xls]List2!$B$25:$F$25</c:f>
              <c:numCache>
                <c:formatCode>0.00</c:formatCode>
                <c:ptCount val="5"/>
                <c:pt idx="0">
                  <c:v>0.6044543737136856</c:v>
                </c:pt>
                <c:pt idx="1">
                  <c:v>0.15522859350691384</c:v>
                </c:pt>
                <c:pt idx="2">
                  <c:v>7.2208746893389006E-2</c:v>
                </c:pt>
                <c:pt idx="3">
                  <c:v>5.9703350037162782E-2</c:v>
                </c:pt>
                <c:pt idx="4">
                  <c:v>-8.6976297378716302E-3</c:v>
                </c:pt>
              </c:numCache>
            </c:numRef>
          </c:val>
          <c:extLst>
            <c:ext xmlns:c16="http://schemas.microsoft.com/office/drawing/2014/chart" uri="{C3380CC4-5D6E-409C-BE32-E72D297353CC}">
              <c16:uniqueId val="{00000000-4F6B-4720-B560-CA3CE7A8FC41}"/>
            </c:ext>
          </c:extLst>
        </c:ser>
        <c:ser>
          <c:idx val="1"/>
          <c:order val="1"/>
          <c:tx>
            <c:strRef>
              <c:f>[nama_10_gdp.xls]List2!$A$26</c:f>
              <c:strCache>
                <c:ptCount val="1"/>
                <c:pt idx="0">
                  <c:v>GE</c:v>
                </c:pt>
              </c:strCache>
            </c:strRef>
          </c:tx>
          <c:spPr>
            <a:solidFill>
              <a:schemeClr val="accent2"/>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[nama_10_gdp.xls]List2!$B$26:$F$26</c:f>
              <c:numCache>
                <c:formatCode>0.00</c:formatCode>
                <c:ptCount val="5"/>
                <c:pt idx="0">
                  <c:v>0.75257982182697292</c:v>
                </c:pt>
                <c:pt idx="1">
                  <c:v>-0.45965294603498003</c:v>
                </c:pt>
                <c:pt idx="2">
                  <c:v>0.27877125839671435</c:v>
                </c:pt>
                <c:pt idx="3">
                  <c:v>0.32863528274749254</c:v>
                </c:pt>
                <c:pt idx="4">
                  <c:v>-0.64990328704393674</c:v>
                </c:pt>
              </c:numCache>
            </c:numRef>
          </c:val>
          <c:extLst>
            <c:ext xmlns:c16="http://schemas.microsoft.com/office/drawing/2014/chart" uri="{C3380CC4-5D6E-409C-BE32-E72D297353CC}">
              <c16:uniqueId val="{00000001-4F6B-4720-B560-CA3CE7A8FC41}"/>
            </c:ext>
          </c:extLst>
        </c:ser>
        <c:ser>
          <c:idx val="2"/>
          <c:order val="2"/>
          <c:tx>
            <c:strRef>
              <c:f>[nama_10_gdp.xls]List2!$A$27</c:f>
              <c:strCache>
                <c:ptCount val="1"/>
                <c:pt idx="0">
                  <c:v>EU-28</c:v>
                </c:pt>
              </c:strCache>
            </c:strRef>
          </c:tx>
          <c:spPr>
            <a:solidFill>
              <a:schemeClr val="accent3"/>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[nama_10_gdp.xls]List2!$B$27:$F$27</c:f>
              <c:numCache>
                <c:formatCode>0.00</c:formatCode>
                <c:ptCount val="5"/>
                <c:pt idx="0">
                  <c:v>0.65273306761847849</c:v>
                </c:pt>
                <c:pt idx="1">
                  <c:v>-0.2770325200871091</c:v>
                </c:pt>
                <c:pt idx="2">
                  <c:v>0.16349840941961213</c:v>
                </c:pt>
                <c:pt idx="3">
                  <c:v>0.21734142488221278</c:v>
                </c:pt>
                <c:pt idx="4">
                  <c:v>-0.52461083332072822</c:v>
                </c:pt>
              </c:numCache>
            </c:numRef>
          </c:val>
          <c:extLst>
            <c:ext xmlns:c16="http://schemas.microsoft.com/office/drawing/2014/chart" uri="{C3380CC4-5D6E-409C-BE32-E72D297353CC}">
              <c16:uniqueId val="{00000002-4F6B-4720-B560-CA3CE7A8FC41}"/>
            </c:ext>
          </c:extLst>
        </c:ser>
        <c:dLbls>
          <c:showLegendKey val="0"/>
          <c:showVal val="0"/>
          <c:showCatName val="0"/>
          <c:showSerName val="0"/>
          <c:showPercent val="0"/>
          <c:showBubbleSize val="0"/>
        </c:dLbls>
        <c:gapWidth val="182"/>
        <c:axId val="1955009935"/>
        <c:axId val="1955006191"/>
      </c:barChart>
      <c:catAx>
        <c:axId val="1955009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55006191"/>
        <c:crosses val="autoZero"/>
        <c:auto val="1"/>
        <c:lblAlgn val="ctr"/>
        <c:lblOffset val="100"/>
        <c:noMultiLvlLbl val="0"/>
      </c:catAx>
      <c:valAx>
        <c:axId val="1955006191"/>
        <c:scaling>
          <c:orientation val="minMax"/>
        </c:scaling>
        <c:delete val="0"/>
        <c:axPos val="b"/>
        <c:majorGridlines>
          <c:spPr>
            <a:ln w="9525" cap="flat" cmpd="sng" algn="ctr">
              <a:no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55009935"/>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0.85353</cdr:x>
      <cdr:y>0.13163</cdr:y>
    </cdr:from>
    <cdr:to>
      <cdr:x>0.85353</cdr:x>
      <cdr:y>0.25163</cdr:y>
    </cdr:to>
    <cdr:cxnSp macro="">
      <cdr:nvCxnSpPr>
        <cdr:cNvPr id="2" name="Přímá spojnice 1"/>
        <cdr:cNvCxnSpPr/>
      </cdr:nvCxnSpPr>
      <cdr:spPr>
        <a:xfrm xmlns:a="http://schemas.openxmlformats.org/drawingml/2006/main" flipH="1">
          <a:off x="5142978" y="472440"/>
          <a:ext cx="0" cy="430682"/>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68AE-1AC8-4170-913A-05D8E5BFBA4E}">
  <ds:schemaRefs>
    <ds:schemaRef ds:uri="urn:writefull-cache:Suggestions"/>
  </ds:schemaRefs>
</ds:datastoreItem>
</file>

<file path=customXml/itemProps2.xml><?xml version="1.0" encoding="utf-8"?>
<ds:datastoreItem xmlns:ds="http://schemas.openxmlformats.org/officeDocument/2006/customXml" ds:itemID="{8DBEE769-9158-4EB8-BB0B-4CD47855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34</Pages>
  <Words>7094</Words>
  <Characters>41860</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Volek Tomáš Ing. Ph.D.</dc:creator>
  <cp:keywords/>
  <dc:description/>
  <cp:lastModifiedBy>Volek Tomáš Ing. Ph.D.</cp:lastModifiedBy>
  <cp:revision>16</cp:revision>
  <cp:lastPrinted>2021-09-16T10:46:00Z</cp:lastPrinted>
  <dcterms:created xsi:type="dcterms:W3CDTF">2021-09-25T13:11:00Z</dcterms:created>
  <dcterms:modified xsi:type="dcterms:W3CDTF">2021-09-26T16:27:00Z</dcterms:modified>
</cp:coreProperties>
</file>