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D05" w:rsidRPr="00E54D02" w:rsidRDefault="004E7D05" w:rsidP="00E54D02">
      <w:pPr>
        <w:spacing w:line="360" w:lineRule="auto"/>
      </w:pPr>
    </w:p>
    <w:p w:rsidR="004E7D05" w:rsidRDefault="004E7D05" w:rsidP="00E54D02">
      <w:pPr>
        <w:spacing w:line="360" w:lineRule="auto"/>
      </w:pPr>
    </w:p>
    <w:p w:rsidR="00210075" w:rsidRDefault="00210075" w:rsidP="00E54D02">
      <w:pPr>
        <w:spacing w:line="360" w:lineRule="auto"/>
      </w:pPr>
    </w:p>
    <w:p w:rsidR="00210075" w:rsidRDefault="00210075" w:rsidP="00E54D02">
      <w:pPr>
        <w:spacing w:line="360" w:lineRule="auto"/>
      </w:pPr>
    </w:p>
    <w:p w:rsidR="00210075" w:rsidRPr="00E54D02" w:rsidRDefault="00210075" w:rsidP="00E54D02">
      <w:pPr>
        <w:spacing w:line="360" w:lineRule="auto"/>
      </w:pPr>
    </w:p>
    <w:p w:rsidR="004E7D05" w:rsidRPr="00E54D02" w:rsidRDefault="004E7D05" w:rsidP="00E54D02">
      <w:pPr>
        <w:spacing w:line="360" w:lineRule="auto"/>
        <w:jc w:val="both"/>
      </w:pPr>
      <w:r w:rsidRPr="00E54D02">
        <w:t xml:space="preserve">Na srovnávání produktivity národů se běžně pohlíží jako na závod. Je však rozdíl mezi běžeckým závodem a závodem v produktivitě mezi národy. V běžeckém závodě, pokud jeden běžec rychle odstartuje, není důvod, proč by jen z tohoto důvodu měli jeho soupeři následně běžet rychleji než on. Závod v produktivitě je jiný: za určitých podmínek dává zaostávání v produktivitě opozdilcům možnost, aby rostli rychleji než </w:t>
      </w:r>
      <w:r w:rsidR="007F693C" w:rsidRPr="00E54D02">
        <w:t xml:space="preserve">počátečnímu lídrovi. </w:t>
      </w:r>
      <w:r w:rsidR="003C22F6" w:rsidRPr="00E54D02">
        <w:t xml:space="preserve">  (Abramovitz &amp; David, 1994)</w:t>
      </w:r>
    </w:p>
    <w:p w:rsidR="004E7D05" w:rsidRPr="00E54D02" w:rsidRDefault="004E7D05" w:rsidP="00E54D02">
      <w:pPr>
        <w:spacing w:line="360" w:lineRule="auto"/>
      </w:pPr>
    </w:p>
    <w:p w:rsidR="003C22F6" w:rsidRPr="00E54D02" w:rsidRDefault="003C22F6" w:rsidP="00E54D02">
      <w:pPr>
        <w:spacing w:line="360" w:lineRule="auto"/>
      </w:pPr>
      <w:r w:rsidRPr="00E54D02">
        <w:t xml:space="preserve">Abramovitz, M., &amp; David, P. A. (1994). </w:t>
      </w:r>
      <w:r w:rsidRPr="00E54D02">
        <w:rPr>
          <w:i/>
          <w:iCs/>
        </w:rPr>
        <w:t>Convergence and deferred catch-up. Productivity leadership and the waning of American exceptionalism</w:t>
      </w:r>
      <w:r w:rsidRPr="00E54D02">
        <w:t>.</w:t>
      </w:r>
    </w:p>
    <w:p w:rsidR="004E7D05" w:rsidRDefault="004E7D05" w:rsidP="00E54D02">
      <w:pPr>
        <w:spacing w:line="360" w:lineRule="auto"/>
      </w:pPr>
    </w:p>
    <w:p w:rsidR="00210075" w:rsidRDefault="00210075" w:rsidP="00E54D02">
      <w:pPr>
        <w:spacing w:line="360" w:lineRule="auto"/>
      </w:pPr>
    </w:p>
    <w:p w:rsidR="00210075" w:rsidRDefault="00210075" w:rsidP="00E54D02">
      <w:pPr>
        <w:spacing w:line="360" w:lineRule="auto"/>
      </w:pPr>
    </w:p>
    <w:p w:rsidR="00774574" w:rsidRPr="00E54D02" w:rsidRDefault="00E742B0" w:rsidP="00E54D02">
      <w:pPr>
        <w:spacing w:line="360" w:lineRule="auto"/>
      </w:pPr>
      <w:r w:rsidRPr="00E54D02">
        <w:t>Úvod</w:t>
      </w:r>
    </w:p>
    <w:p w:rsidR="003A1DD0" w:rsidRDefault="00E742B0" w:rsidP="00210075">
      <w:pPr>
        <w:spacing w:line="360" w:lineRule="auto"/>
        <w:jc w:val="both"/>
      </w:pPr>
      <w:r w:rsidRPr="00E54D02">
        <w:t xml:space="preserve">Produktivitu dnes můžeme považovat za jeden z hlavních zdrojů ekonomického růstu podniků, odvětví, regionů či zemí.   Produktivita vliv nejen na zvyšování ekonomické výkonnosti, ale také na růst konkurenceschopnosti. </w:t>
      </w:r>
      <w:r w:rsidR="00210075">
        <w:t xml:space="preserve"> </w:t>
      </w:r>
      <w:r w:rsidR="003A1DD0" w:rsidRPr="003A1DD0">
        <w:t xml:space="preserve">Proto, abychom pochopili síly, které utvářejí agregátní produktivitu. </w:t>
      </w:r>
      <w:proofErr w:type="gramStart"/>
      <w:r w:rsidR="003A1DD0" w:rsidRPr="003A1DD0">
        <w:t>je</w:t>
      </w:r>
      <w:proofErr w:type="gramEnd"/>
      <w:r w:rsidR="003A1DD0" w:rsidRPr="003A1DD0">
        <w:t xml:space="preserve"> třeba jít nad rámec agregátů a pochopit dynamiku šíření znalostí a dohánění produktivity v jednotlivých odvětvích a firmách.</w:t>
      </w:r>
      <w:r w:rsidR="00210075">
        <w:t xml:space="preserve"> </w:t>
      </w:r>
      <w:r w:rsidR="003A1DD0" w:rsidRPr="003A1DD0">
        <w:t>V dlouhodobém horizontu budou země konvergovat ne nutně ke stejné úrovni produktivity, nýbrž ke společnému tempu růstu produktivity, což je určuje tempo růstu produktivity v nejvyspělejších ekonomikách.</w:t>
      </w:r>
    </w:p>
    <w:p w:rsidR="003A1DD0" w:rsidRDefault="00BA5566" w:rsidP="00E54D02">
      <w:pPr>
        <w:spacing w:line="360" w:lineRule="auto"/>
      </w:pPr>
      <w:r>
        <w:t>Před samotnou analýzou je nutné zamyslet se nad rozdílem pojmů konvergence produktivity a doháněnění produktivity. Pod pojdemem konvergence produktivity si lze představit sbližování úrovní produktivity uvnitř nějaké skupiny podniků, odvětví či států. Naopak efekt dohánění produkvitivy zobrazuje</w:t>
      </w:r>
      <w:r w:rsidR="004D615D">
        <w:t>,</w:t>
      </w:r>
      <w:r>
        <w:t xml:space="preserve"> jak se </w:t>
      </w:r>
      <w:r w:rsidR="00363684">
        <w:t xml:space="preserve">státy přibližují k nějakému vyspělejšímu státu. </w:t>
      </w:r>
    </w:p>
    <w:p w:rsidR="00210075" w:rsidRDefault="00210075" w:rsidP="00E54D02">
      <w:pPr>
        <w:spacing w:line="360" w:lineRule="auto"/>
      </w:pPr>
    </w:p>
    <w:p w:rsidR="00210075" w:rsidRDefault="00210075" w:rsidP="00E54D02">
      <w:pPr>
        <w:spacing w:line="360" w:lineRule="auto"/>
      </w:pPr>
    </w:p>
    <w:p w:rsidR="004D615D" w:rsidRDefault="004D615D" w:rsidP="00E54D02">
      <w:pPr>
        <w:spacing w:line="360" w:lineRule="auto"/>
      </w:pPr>
    </w:p>
    <w:p w:rsidR="004D615D" w:rsidRDefault="004D615D" w:rsidP="00E54D02">
      <w:pPr>
        <w:spacing w:line="360" w:lineRule="auto"/>
      </w:pPr>
    </w:p>
    <w:p w:rsidR="004D615D" w:rsidRPr="00E54D02" w:rsidRDefault="004D615D" w:rsidP="00E54D02">
      <w:pPr>
        <w:spacing w:line="360" w:lineRule="auto"/>
      </w:pPr>
    </w:p>
    <w:p w:rsidR="00E742B0" w:rsidRPr="00E54D02" w:rsidRDefault="00E742B0" w:rsidP="00E54D02">
      <w:pPr>
        <w:spacing w:line="360" w:lineRule="auto"/>
      </w:pPr>
      <w:r w:rsidRPr="00E54D02">
        <w:lastRenderedPageBreak/>
        <w:t>Cíl práce</w:t>
      </w:r>
    </w:p>
    <w:p w:rsidR="00E742B0" w:rsidRPr="00E54D02" w:rsidRDefault="00E742B0" w:rsidP="00E54D02">
      <w:pPr>
        <w:spacing w:line="360" w:lineRule="auto"/>
      </w:pPr>
    </w:p>
    <w:p w:rsidR="00CB6642" w:rsidRPr="00E54D02" w:rsidRDefault="00CB6642" w:rsidP="00E54D02">
      <w:pPr>
        <w:spacing w:line="360" w:lineRule="auto"/>
      </w:pPr>
      <w:r w:rsidRPr="00E54D02">
        <w:t xml:space="preserve">Literární rešerše </w:t>
      </w:r>
      <w:r w:rsidR="00E742B0" w:rsidRPr="00E54D02">
        <w:t xml:space="preserve">struktura </w:t>
      </w:r>
    </w:p>
    <w:p w:rsidR="00774574" w:rsidRPr="00E54D02" w:rsidRDefault="00774574" w:rsidP="00E54D02">
      <w:pPr>
        <w:spacing w:line="360" w:lineRule="auto"/>
      </w:pPr>
    </w:p>
    <w:p w:rsidR="00CB6642" w:rsidRPr="00E54D02" w:rsidRDefault="00CB6642" w:rsidP="00E54D02">
      <w:pPr>
        <w:spacing w:line="360" w:lineRule="auto"/>
      </w:pPr>
      <w:r w:rsidRPr="00E54D02">
        <w:t xml:space="preserve">Produktivita  a </w:t>
      </w:r>
      <w:r w:rsidRPr="00E54D02">
        <w:rPr>
          <w:highlight w:val="yellow"/>
        </w:rPr>
        <w:t>efektivita</w:t>
      </w:r>
      <w:r w:rsidRPr="00E54D02">
        <w:t xml:space="preserve"> </w:t>
      </w:r>
      <w:r w:rsidR="00774574" w:rsidRPr="00E54D02">
        <w:t xml:space="preserve">  (definování a rozdíly) výrobní faktorů</w:t>
      </w:r>
    </w:p>
    <w:p w:rsidR="00774574" w:rsidRPr="00E54D02" w:rsidRDefault="00774574" w:rsidP="00E54D02">
      <w:pPr>
        <w:spacing w:line="360" w:lineRule="auto"/>
      </w:pPr>
      <w:r w:rsidRPr="00E54D02">
        <w:t xml:space="preserve">Produkční funkce  a ekonomický růstu  v kontextu </w:t>
      </w:r>
    </w:p>
    <w:p w:rsidR="006A22B5" w:rsidRPr="00E54D02" w:rsidRDefault="00692773" w:rsidP="00E54D02">
      <w:pPr>
        <w:spacing w:line="360" w:lineRule="auto"/>
      </w:pPr>
      <w:r w:rsidRPr="00E54D02">
        <w:t>Mikroekonomický a makroekonomický pohled na produktivitu</w:t>
      </w:r>
    </w:p>
    <w:p w:rsidR="00692773" w:rsidRPr="00E54D02" w:rsidRDefault="006A22B5" w:rsidP="00E54D02">
      <w:pPr>
        <w:spacing w:line="360" w:lineRule="auto"/>
      </w:pPr>
      <w:r w:rsidRPr="00E54D02">
        <w:t>Využítí produktivity v </w:t>
      </w:r>
      <w:proofErr w:type="gramStart"/>
      <w:r w:rsidRPr="00E54D02">
        <w:t>podnikové</w:t>
      </w:r>
      <w:proofErr w:type="gramEnd"/>
      <w:r w:rsidRPr="00E54D02">
        <w:t xml:space="preserve"> praxi a konkurenceschopnost</w:t>
      </w:r>
      <w:r w:rsidR="00692773" w:rsidRPr="00E54D02">
        <w:t xml:space="preserve"> </w:t>
      </w:r>
    </w:p>
    <w:p w:rsidR="00CB6642" w:rsidRPr="00E54D02" w:rsidRDefault="00774574" w:rsidP="00E54D02">
      <w:pPr>
        <w:spacing w:line="360" w:lineRule="auto"/>
      </w:pPr>
      <w:r w:rsidRPr="00E54D02">
        <w:t xml:space="preserve">Ukazatele měřící produktivitu a související ukazatele </w:t>
      </w:r>
    </w:p>
    <w:p w:rsidR="00CB6642" w:rsidRPr="00E54D02" w:rsidRDefault="00CB6642" w:rsidP="00E54D02">
      <w:pPr>
        <w:spacing w:line="360" w:lineRule="auto"/>
      </w:pPr>
      <w:r w:rsidRPr="00E54D02">
        <w:t xml:space="preserve">Faktory ovlivňující produktivitu, productivity drivers </w:t>
      </w:r>
    </w:p>
    <w:p w:rsidR="00CB6642" w:rsidRPr="00E54D02" w:rsidRDefault="00CB6642" w:rsidP="00E54D02">
      <w:pPr>
        <w:spacing w:line="360" w:lineRule="auto"/>
      </w:pPr>
      <w:r w:rsidRPr="00E54D02">
        <w:t>Pozitivní šoky a negativní šoky na produktivitu</w:t>
      </w:r>
    </w:p>
    <w:p w:rsidR="00692773" w:rsidRPr="00E54D02" w:rsidRDefault="00774574" w:rsidP="00E54D02">
      <w:pPr>
        <w:spacing w:line="360" w:lineRule="auto"/>
      </w:pPr>
      <w:r w:rsidRPr="00E54D02">
        <w:t xml:space="preserve">Konvergence </w:t>
      </w:r>
      <w:r w:rsidR="00692773" w:rsidRPr="00E54D02">
        <w:t xml:space="preserve"> a prouditivita,</w:t>
      </w:r>
    </w:p>
    <w:p w:rsidR="00692773" w:rsidRPr="00E54D02" w:rsidRDefault="00692773" w:rsidP="00E54D02">
      <w:pPr>
        <w:spacing w:line="360" w:lineRule="auto"/>
      </w:pPr>
      <w:r w:rsidRPr="00E54D02">
        <w:t xml:space="preserve">Produktivity paradox </w:t>
      </w:r>
    </w:p>
    <w:p w:rsidR="00CB6642" w:rsidRPr="00E54D02" w:rsidRDefault="00692773" w:rsidP="00E54D02">
      <w:pPr>
        <w:spacing w:line="360" w:lineRule="auto"/>
      </w:pPr>
      <w:r w:rsidRPr="00E54D02">
        <w:t>Regionální</w:t>
      </w:r>
      <w:r w:rsidR="00CB6642" w:rsidRPr="00E54D02">
        <w:t xml:space="preserve"> rozdíly v produktivitě a </w:t>
      </w:r>
      <w:r w:rsidRPr="00E54D02">
        <w:t>konvergence</w:t>
      </w:r>
      <w:r w:rsidR="00CB6642" w:rsidRPr="00E54D02">
        <w:t xml:space="preserve"> </w:t>
      </w:r>
    </w:p>
    <w:p w:rsidR="00CB6642" w:rsidRPr="00E54D02" w:rsidRDefault="00CB6642" w:rsidP="00E54D02">
      <w:pPr>
        <w:spacing w:line="360" w:lineRule="auto"/>
      </w:pPr>
      <w:r w:rsidRPr="00E54D02">
        <w:t xml:space="preserve">Produktivita GAP </w:t>
      </w:r>
      <w:r w:rsidR="00D9139F" w:rsidRPr="00E54D02">
        <w:t xml:space="preserve"> a efekt přelévání </w:t>
      </w:r>
    </w:p>
    <w:p w:rsidR="00E742B0" w:rsidRPr="00E54D02" w:rsidRDefault="00E742B0" w:rsidP="00E54D02">
      <w:pPr>
        <w:shd w:val="clear" w:color="auto" w:fill="FFFFFF"/>
        <w:spacing w:after="360" w:line="360" w:lineRule="auto"/>
        <w:rPr>
          <w:color w:val="333333"/>
          <w:lang w:val="en-GB" w:eastAsia="en-GB"/>
        </w:rPr>
      </w:pPr>
      <w:r w:rsidRPr="00E54D02">
        <w:rPr>
          <w:color w:val="333333"/>
          <w:lang w:val="en-GB" w:eastAsia="en-GB"/>
        </w:rPr>
        <w:t>Praktická část struktura</w:t>
      </w:r>
    </w:p>
    <w:p w:rsidR="00F47078" w:rsidRPr="00E54D02" w:rsidRDefault="00B84B34" w:rsidP="00E54D02">
      <w:pPr>
        <w:shd w:val="clear" w:color="auto" w:fill="FFFFFF"/>
        <w:spacing w:after="360" w:line="360" w:lineRule="auto"/>
        <w:rPr>
          <w:color w:val="333333"/>
          <w:lang w:val="en-GB" w:eastAsia="en-GB"/>
        </w:rPr>
      </w:pPr>
      <w:r w:rsidRPr="00E54D02">
        <w:rPr>
          <w:color w:val="333333"/>
          <w:lang w:val="en-GB" w:eastAsia="en-GB"/>
        </w:rPr>
        <w:t>M</w:t>
      </w:r>
      <w:r w:rsidR="00F47078" w:rsidRPr="00E54D02">
        <w:rPr>
          <w:color w:val="333333"/>
          <w:lang w:val="en-GB" w:eastAsia="en-GB"/>
        </w:rPr>
        <w:t xml:space="preserve">akroekonomická část </w:t>
      </w:r>
    </w:p>
    <w:p w:rsidR="00E742B0" w:rsidRPr="00E54D02" w:rsidRDefault="00E742B0" w:rsidP="00E54D02">
      <w:pPr>
        <w:shd w:val="clear" w:color="auto" w:fill="FFFFFF"/>
        <w:spacing w:after="360" w:line="360" w:lineRule="auto"/>
        <w:rPr>
          <w:color w:val="333333"/>
          <w:lang w:val="en-GB" w:eastAsia="en-GB"/>
        </w:rPr>
      </w:pPr>
      <w:r w:rsidRPr="00E54D02">
        <w:rPr>
          <w:color w:val="333333"/>
          <w:lang w:val="en-GB" w:eastAsia="en-GB"/>
        </w:rPr>
        <w:t xml:space="preserve">Produktivita a zpracovatelský sector v zemích </w:t>
      </w:r>
      <w:proofErr w:type="gramStart"/>
      <w:r w:rsidRPr="00E54D02">
        <w:rPr>
          <w:color w:val="333333"/>
          <w:lang w:val="en-GB" w:eastAsia="en-GB"/>
        </w:rPr>
        <w:t>V4</w:t>
      </w:r>
      <w:r w:rsidR="00C3577A" w:rsidRPr="00E54D02">
        <w:rPr>
          <w:color w:val="333333"/>
          <w:lang w:val="en-GB" w:eastAsia="en-GB"/>
        </w:rPr>
        <w:t xml:space="preserve">  (</w:t>
      </w:r>
      <w:proofErr w:type="gramEnd"/>
      <w:r w:rsidR="00C3577A" w:rsidRPr="00E54D02">
        <w:rPr>
          <w:color w:val="333333"/>
          <w:lang w:val="en-GB" w:eastAsia="en-GB"/>
        </w:rPr>
        <w:t>stuktura, dynamika)</w:t>
      </w:r>
    </w:p>
    <w:p w:rsidR="00C3577A" w:rsidRPr="00E54D02" w:rsidRDefault="00C3577A" w:rsidP="00E54D02">
      <w:pPr>
        <w:shd w:val="clear" w:color="auto" w:fill="FFFFFF"/>
        <w:spacing w:after="360" w:line="360" w:lineRule="auto"/>
        <w:rPr>
          <w:color w:val="333333"/>
          <w:lang w:val="en-GB" w:eastAsia="en-GB"/>
        </w:rPr>
      </w:pPr>
      <w:r w:rsidRPr="00E54D02">
        <w:rPr>
          <w:color w:val="333333"/>
          <w:lang w:val="en-GB" w:eastAsia="en-GB"/>
        </w:rPr>
        <w:t xml:space="preserve">Zdroje růstu (Extenitzvní </w:t>
      </w:r>
      <w:proofErr w:type="gramStart"/>
      <w:r w:rsidRPr="00E54D02">
        <w:rPr>
          <w:color w:val="333333"/>
          <w:lang w:val="en-GB" w:eastAsia="en-GB"/>
        </w:rPr>
        <w:t>a</w:t>
      </w:r>
      <w:proofErr w:type="gramEnd"/>
      <w:r w:rsidRPr="00E54D02">
        <w:rPr>
          <w:color w:val="333333"/>
          <w:lang w:val="en-GB" w:eastAsia="en-GB"/>
        </w:rPr>
        <w:t xml:space="preserve"> intezivní)</w:t>
      </w:r>
      <w:r w:rsidR="00E61D84" w:rsidRPr="00E54D02">
        <w:rPr>
          <w:color w:val="333333"/>
          <w:lang w:val="en-GB" w:eastAsia="en-GB"/>
        </w:rPr>
        <w:t xml:space="preserve"> v jednotlivých částech</w:t>
      </w:r>
    </w:p>
    <w:p w:rsidR="00C3577A" w:rsidRPr="00E54D02" w:rsidRDefault="00C3577A" w:rsidP="00E54D02">
      <w:pPr>
        <w:shd w:val="clear" w:color="auto" w:fill="FFFFFF"/>
        <w:spacing w:after="360" w:line="360" w:lineRule="auto"/>
        <w:ind w:left="708"/>
        <w:rPr>
          <w:color w:val="333333"/>
          <w:lang w:val="en-GB" w:eastAsia="en-GB"/>
        </w:rPr>
      </w:pPr>
      <w:r w:rsidRPr="00E54D02">
        <w:rPr>
          <w:color w:val="333333"/>
          <w:lang w:val="en-GB" w:eastAsia="en-GB"/>
        </w:rPr>
        <w:t>Produkční mezer</w:t>
      </w:r>
      <w:r w:rsidR="00E61D84" w:rsidRPr="00E54D02">
        <w:rPr>
          <w:color w:val="333333"/>
          <w:lang w:val="en-GB" w:eastAsia="en-GB"/>
        </w:rPr>
        <w:t xml:space="preserve">a (gap) jednotlivých odvětví a rychlost </w:t>
      </w:r>
    </w:p>
    <w:p w:rsidR="00E742B0" w:rsidRPr="00E54D02" w:rsidRDefault="00E742B0" w:rsidP="00E54D02">
      <w:pPr>
        <w:shd w:val="clear" w:color="auto" w:fill="FFFFFF"/>
        <w:spacing w:after="360" w:line="360" w:lineRule="auto"/>
        <w:rPr>
          <w:color w:val="333333"/>
          <w:lang w:val="en-GB" w:eastAsia="en-GB"/>
        </w:rPr>
      </w:pPr>
      <w:proofErr w:type="gramStart"/>
      <w:r w:rsidRPr="00E54D02">
        <w:rPr>
          <w:color w:val="333333"/>
          <w:lang w:val="en-GB" w:eastAsia="en-GB"/>
        </w:rPr>
        <w:t xml:space="preserve">Konvergence </w:t>
      </w:r>
      <w:r w:rsidR="00C3577A" w:rsidRPr="00E54D02">
        <w:rPr>
          <w:color w:val="333333"/>
          <w:lang w:val="en-GB" w:eastAsia="en-GB"/>
        </w:rPr>
        <w:t xml:space="preserve"> produtkvity</w:t>
      </w:r>
      <w:proofErr w:type="gramEnd"/>
      <w:r w:rsidR="00C3577A" w:rsidRPr="00E54D02">
        <w:rPr>
          <w:color w:val="333333"/>
          <w:lang w:val="en-GB" w:eastAsia="en-GB"/>
        </w:rPr>
        <w:t xml:space="preserve"> </w:t>
      </w:r>
      <w:r w:rsidRPr="00E54D02">
        <w:rPr>
          <w:color w:val="333333"/>
          <w:lang w:val="en-GB" w:eastAsia="en-GB"/>
        </w:rPr>
        <w:t xml:space="preserve">jednotlivých </w:t>
      </w:r>
      <w:r w:rsidR="00E61D84" w:rsidRPr="00E54D02">
        <w:rPr>
          <w:color w:val="333333"/>
          <w:lang w:val="en-GB" w:eastAsia="en-GB"/>
        </w:rPr>
        <w:t>částí zpracovatelkého průmyslu v V4</w:t>
      </w:r>
    </w:p>
    <w:p w:rsidR="00967854" w:rsidRPr="00E54D02" w:rsidRDefault="00967854" w:rsidP="00E54D02">
      <w:pPr>
        <w:shd w:val="clear" w:color="auto" w:fill="FFFFFF"/>
        <w:spacing w:after="360" w:line="360" w:lineRule="auto"/>
        <w:rPr>
          <w:color w:val="333333"/>
          <w:lang w:val="en-GB" w:eastAsia="en-GB"/>
        </w:rPr>
      </w:pPr>
      <w:r w:rsidRPr="00E54D02">
        <w:rPr>
          <w:color w:val="333333"/>
          <w:lang w:val="en-GB" w:eastAsia="en-GB"/>
        </w:rPr>
        <w:t xml:space="preserve">Zda ty odvětví, které nejvíce příspívají k růstu PP mají nejvěší konvergenci </w:t>
      </w:r>
    </w:p>
    <w:p w:rsidR="00967854" w:rsidRPr="00E54D02" w:rsidRDefault="00967854" w:rsidP="00E54D02">
      <w:pPr>
        <w:shd w:val="clear" w:color="auto" w:fill="FFFFFF"/>
        <w:spacing w:after="360" w:line="360" w:lineRule="auto"/>
        <w:rPr>
          <w:color w:val="333333"/>
          <w:lang w:val="en-GB" w:eastAsia="en-GB"/>
        </w:rPr>
      </w:pPr>
      <w:r w:rsidRPr="00E54D02">
        <w:rPr>
          <w:color w:val="333333"/>
          <w:lang w:val="en-GB" w:eastAsia="en-GB"/>
        </w:rPr>
        <w:t>(</w:t>
      </w:r>
      <w:hyperlink r:id="rId7" w:history="1">
        <w:r w:rsidR="000E3DC9" w:rsidRPr="00E54D02">
          <w:rPr>
            <w:rStyle w:val="Hypertextovodkaz"/>
            <w:lang w:val="en-GB" w:eastAsia="en-GB"/>
          </w:rPr>
          <w:t>https://www.oecd.org/sdd/productivity-stats/oecd-compendium-of-productivity-indicators-22252126.htm</w:t>
        </w:r>
      </w:hyperlink>
      <w:r w:rsidRPr="00E54D02">
        <w:rPr>
          <w:color w:val="333333"/>
          <w:lang w:val="en-GB" w:eastAsia="en-GB"/>
        </w:rPr>
        <w:t>)</w:t>
      </w:r>
    </w:p>
    <w:p w:rsidR="000E3DC9" w:rsidRPr="00E54D02" w:rsidRDefault="00663322" w:rsidP="00E54D02">
      <w:pPr>
        <w:shd w:val="clear" w:color="auto" w:fill="FFFFFF"/>
        <w:spacing w:after="360" w:line="360" w:lineRule="auto"/>
        <w:rPr>
          <w:color w:val="333333"/>
          <w:lang w:val="en-GB" w:eastAsia="en-GB"/>
        </w:rPr>
      </w:pPr>
      <w:hyperlink r:id="rId8" w:history="1">
        <w:r w:rsidR="000E3DC9" w:rsidRPr="00E54D02">
          <w:rPr>
            <w:rStyle w:val="Hypertextovodkaz"/>
            <w:lang w:val="en-GB" w:eastAsia="en-GB"/>
          </w:rPr>
          <w:t>https://stats.oecd.org/index.aspx?queryid=54564#</w:t>
        </w:r>
      </w:hyperlink>
    </w:p>
    <w:p w:rsidR="000E3DC9" w:rsidRPr="00E54D02" w:rsidRDefault="000E3DC9" w:rsidP="00E54D02">
      <w:pPr>
        <w:shd w:val="clear" w:color="auto" w:fill="FFFFFF"/>
        <w:spacing w:after="360" w:line="360" w:lineRule="auto"/>
        <w:rPr>
          <w:color w:val="333333"/>
          <w:lang w:val="en-GB" w:eastAsia="en-GB"/>
        </w:rPr>
      </w:pPr>
    </w:p>
    <w:p w:rsidR="00E61D84" w:rsidRPr="00E54D02" w:rsidRDefault="00E61D84" w:rsidP="00E54D02">
      <w:pPr>
        <w:shd w:val="clear" w:color="auto" w:fill="FFFFFF"/>
        <w:spacing w:after="360" w:line="360" w:lineRule="auto"/>
        <w:rPr>
          <w:color w:val="333333"/>
          <w:lang w:val="en-GB" w:eastAsia="en-GB"/>
        </w:rPr>
      </w:pPr>
      <w:r w:rsidRPr="00E54D02">
        <w:rPr>
          <w:color w:val="333333"/>
          <w:lang w:val="en-GB" w:eastAsia="en-GB"/>
        </w:rPr>
        <w:lastRenderedPageBreak/>
        <w:t xml:space="preserve">Zda pestrost zvyšuje produktvitu nebo zde má vliv hospodářský cyklus </w:t>
      </w:r>
    </w:p>
    <w:p w:rsidR="00E61D84" w:rsidRPr="00E54D02" w:rsidRDefault="00E61D84" w:rsidP="00E54D02">
      <w:pPr>
        <w:shd w:val="clear" w:color="auto" w:fill="FFFFFF"/>
        <w:spacing w:after="360" w:line="360" w:lineRule="auto"/>
        <w:rPr>
          <w:color w:val="333333"/>
          <w:lang w:val="en-GB" w:eastAsia="en-GB"/>
        </w:rPr>
      </w:pPr>
      <w:r w:rsidRPr="00E54D02">
        <w:rPr>
          <w:color w:val="333333"/>
          <w:lang w:val="en-GB" w:eastAsia="en-GB"/>
        </w:rPr>
        <w:t xml:space="preserve">Kompnezační model zda zde existuje </w:t>
      </w:r>
    </w:p>
    <w:p w:rsidR="00E61D84" w:rsidRPr="00E54D02" w:rsidRDefault="00E61D84" w:rsidP="00E54D02">
      <w:pPr>
        <w:shd w:val="clear" w:color="auto" w:fill="FFFFFF"/>
        <w:spacing w:after="360" w:line="360" w:lineRule="auto"/>
        <w:rPr>
          <w:color w:val="333333"/>
          <w:lang w:val="en-GB" w:eastAsia="en-GB"/>
        </w:rPr>
      </w:pPr>
    </w:p>
    <w:p w:rsidR="00C3577A" w:rsidRPr="00E54D02" w:rsidRDefault="00E61D84" w:rsidP="00E54D02">
      <w:pPr>
        <w:shd w:val="clear" w:color="auto" w:fill="FFFFFF"/>
        <w:spacing w:after="360" w:line="360" w:lineRule="auto"/>
        <w:rPr>
          <w:color w:val="333333"/>
          <w:lang w:val="en-GB" w:eastAsia="en-GB"/>
        </w:rPr>
      </w:pPr>
      <w:r w:rsidRPr="00E54D02">
        <w:rPr>
          <w:color w:val="333333"/>
          <w:lang w:val="en-GB" w:eastAsia="en-GB"/>
        </w:rPr>
        <w:t>P</w:t>
      </w:r>
      <w:r w:rsidR="00F47078" w:rsidRPr="00E54D02">
        <w:rPr>
          <w:color w:val="333333"/>
          <w:lang w:val="en-GB" w:eastAsia="en-GB"/>
        </w:rPr>
        <w:t xml:space="preserve">odniková analýza </w:t>
      </w:r>
    </w:p>
    <w:p w:rsidR="00E61D84" w:rsidRPr="00E54D02" w:rsidRDefault="00EA2E48" w:rsidP="00E54D02">
      <w:pPr>
        <w:shd w:val="clear" w:color="auto" w:fill="FFFFFF"/>
        <w:spacing w:after="360" w:line="360" w:lineRule="auto"/>
        <w:rPr>
          <w:color w:val="333333"/>
          <w:lang w:val="en-GB" w:eastAsia="en-GB"/>
        </w:rPr>
      </w:pPr>
      <w:r w:rsidRPr="00E54D02">
        <w:rPr>
          <w:color w:val="333333"/>
          <w:lang w:val="en-GB" w:eastAsia="en-GB"/>
        </w:rPr>
        <w:t xml:space="preserve">Stukturální analýza dat </w:t>
      </w:r>
    </w:p>
    <w:p w:rsidR="00EA2E48" w:rsidRPr="00E54D02" w:rsidRDefault="00EA2E48" w:rsidP="00E54D02">
      <w:pPr>
        <w:shd w:val="clear" w:color="auto" w:fill="FFFFFF"/>
        <w:spacing w:after="360" w:line="360" w:lineRule="auto"/>
        <w:rPr>
          <w:color w:val="333333"/>
          <w:lang w:val="en-GB" w:eastAsia="en-GB"/>
        </w:rPr>
      </w:pPr>
      <w:r w:rsidRPr="00E54D02">
        <w:rPr>
          <w:color w:val="333333"/>
          <w:lang w:val="en-GB" w:eastAsia="en-GB"/>
        </w:rPr>
        <w:t>Rozdíly mezi odvětvímí a velikostnmi podniků</w:t>
      </w:r>
    </w:p>
    <w:p w:rsidR="00EA2E48" w:rsidRPr="00E54D02" w:rsidRDefault="00EA2E48" w:rsidP="00E54D02">
      <w:pPr>
        <w:shd w:val="clear" w:color="auto" w:fill="FFFFFF"/>
        <w:spacing w:after="360" w:line="360" w:lineRule="auto"/>
        <w:rPr>
          <w:color w:val="333333"/>
          <w:lang w:val="en-GB" w:eastAsia="en-GB"/>
        </w:rPr>
      </w:pPr>
      <w:r w:rsidRPr="00E54D02">
        <w:rPr>
          <w:color w:val="333333"/>
          <w:lang w:val="en-GB" w:eastAsia="en-GB"/>
        </w:rPr>
        <w:t xml:space="preserve">Podniková konvergence </w:t>
      </w:r>
    </w:p>
    <w:p w:rsidR="00E61D84" w:rsidRPr="00E54D02" w:rsidRDefault="00E61D84" w:rsidP="00E54D02">
      <w:pPr>
        <w:shd w:val="clear" w:color="auto" w:fill="FFFFFF"/>
        <w:spacing w:after="360" w:line="360" w:lineRule="auto"/>
        <w:rPr>
          <w:color w:val="333333"/>
          <w:lang w:val="en-GB" w:eastAsia="en-GB"/>
        </w:rPr>
      </w:pPr>
    </w:p>
    <w:p w:rsidR="00C3577A" w:rsidRPr="00E54D02" w:rsidRDefault="00C3577A" w:rsidP="00E54D02">
      <w:pPr>
        <w:shd w:val="clear" w:color="auto" w:fill="FFFFFF"/>
        <w:spacing w:after="360" w:line="360" w:lineRule="auto"/>
        <w:rPr>
          <w:color w:val="333333"/>
          <w:lang w:val="en-GB" w:eastAsia="en-GB"/>
        </w:rPr>
      </w:pPr>
    </w:p>
    <w:p w:rsidR="00C3577A" w:rsidRPr="00E54D02" w:rsidRDefault="00C3577A" w:rsidP="00E54D02">
      <w:pPr>
        <w:shd w:val="clear" w:color="auto" w:fill="FFFFFF"/>
        <w:spacing w:after="360" w:line="360" w:lineRule="auto"/>
        <w:rPr>
          <w:color w:val="333333"/>
          <w:lang w:val="en-GB" w:eastAsia="en-GB"/>
        </w:rPr>
      </w:pPr>
    </w:p>
    <w:p w:rsidR="00E742B0" w:rsidRPr="00E54D02" w:rsidRDefault="00E742B0" w:rsidP="00E54D02">
      <w:pPr>
        <w:shd w:val="clear" w:color="auto" w:fill="FFFFFF"/>
        <w:spacing w:after="360" w:line="360" w:lineRule="auto"/>
        <w:rPr>
          <w:color w:val="333333"/>
          <w:lang w:val="en-GB" w:eastAsia="en-GB"/>
        </w:rPr>
      </w:pPr>
      <w:r w:rsidRPr="00E54D02">
        <w:rPr>
          <w:color w:val="333333"/>
          <w:lang w:val="en-GB" w:eastAsia="en-GB"/>
        </w:rPr>
        <w:t xml:space="preserve"> </w:t>
      </w:r>
    </w:p>
    <w:p w:rsidR="00E742B0" w:rsidRPr="00E54D02" w:rsidRDefault="00E742B0" w:rsidP="00E54D02">
      <w:pPr>
        <w:shd w:val="clear" w:color="auto" w:fill="FFFFFF"/>
        <w:spacing w:after="360" w:line="360" w:lineRule="auto"/>
        <w:rPr>
          <w:color w:val="333333"/>
          <w:lang w:val="en-GB" w:eastAsia="en-GB"/>
        </w:rPr>
      </w:pPr>
    </w:p>
    <w:p w:rsidR="00E742B0" w:rsidRPr="00E54D02" w:rsidRDefault="00E742B0" w:rsidP="00E54D02">
      <w:pPr>
        <w:shd w:val="clear" w:color="auto" w:fill="FFFFFF"/>
        <w:spacing w:after="360" w:line="360" w:lineRule="auto"/>
        <w:rPr>
          <w:color w:val="333333"/>
          <w:lang w:val="en-GB" w:eastAsia="en-GB"/>
        </w:rPr>
      </w:pPr>
    </w:p>
    <w:p w:rsidR="00E742B0" w:rsidRPr="00E54D02" w:rsidRDefault="007E09CB" w:rsidP="00E54D02">
      <w:pPr>
        <w:shd w:val="clear" w:color="auto" w:fill="FFFFFF"/>
        <w:spacing w:after="360" w:line="360" w:lineRule="auto"/>
        <w:rPr>
          <w:color w:val="333333"/>
          <w:lang w:val="en-GB" w:eastAsia="en-GB"/>
        </w:rPr>
      </w:pPr>
      <w:r w:rsidRPr="00E54D02">
        <w:rPr>
          <w:color w:val="333333"/>
          <w:lang w:val="en-GB" w:eastAsia="en-GB"/>
        </w:rPr>
        <w:t>,</w:t>
      </w:r>
    </w:p>
    <w:p w:rsidR="004F50C3" w:rsidRPr="00E54D02" w:rsidRDefault="004F50C3" w:rsidP="00E54D02">
      <w:pPr>
        <w:shd w:val="clear" w:color="auto" w:fill="FFFFFF"/>
        <w:spacing w:after="360" w:line="360" w:lineRule="auto"/>
        <w:rPr>
          <w:color w:val="333333"/>
          <w:lang w:val="en-GB" w:eastAsia="en-GB"/>
        </w:rPr>
      </w:pPr>
    </w:p>
    <w:p w:rsidR="007E09CB" w:rsidRPr="00E54D02" w:rsidRDefault="007E09CB" w:rsidP="00E54D02">
      <w:pPr>
        <w:shd w:val="clear" w:color="auto" w:fill="FFFFFF"/>
        <w:spacing w:after="360" w:line="360" w:lineRule="auto"/>
        <w:rPr>
          <w:color w:val="333333"/>
          <w:lang w:val="en-GB" w:eastAsia="en-GB"/>
        </w:rPr>
      </w:pPr>
    </w:p>
    <w:p w:rsidR="007E09CB" w:rsidRPr="00E54D02" w:rsidRDefault="007E09CB" w:rsidP="00E54D02">
      <w:pPr>
        <w:shd w:val="clear" w:color="auto" w:fill="FFFFFF"/>
        <w:spacing w:after="360" w:line="360" w:lineRule="auto"/>
        <w:rPr>
          <w:color w:val="333333"/>
          <w:lang w:val="en-GB" w:eastAsia="en-GB"/>
        </w:rPr>
      </w:pPr>
    </w:p>
    <w:p w:rsidR="007E09CB" w:rsidRPr="00E54D02" w:rsidRDefault="007E09CB" w:rsidP="00E54D02">
      <w:pPr>
        <w:shd w:val="clear" w:color="auto" w:fill="FFFFFF"/>
        <w:spacing w:after="360" w:line="360" w:lineRule="auto"/>
        <w:rPr>
          <w:color w:val="333333"/>
          <w:lang w:val="en-GB" w:eastAsia="en-GB"/>
        </w:rPr>
      </w:pPr>
    </w:p>
    <w:p w:rsidR="00C95CBD" w:rsidRPr="00E54D02" w:rsidRDefault="00C95CBD" w:rsidP="00E54D02">
      <w:pPr>
        <w:shd w:val="clear" w:color="auto" w:fill="FFFFFF"/>
        <w:spacing w:after="360" w:line="360" w:lineRule="auto"/>
        <w:rPr>
          <w:color w:val="333333"/>
          <w:lang w:val="en-GB" w:eastAsia="en-GB"/>
        </w:rPr>
      </w:pPr>
    </w:p>
    <w:p w:rsidR="00E7042B" w:rsidRPr="00E54D02" w:rsidRDefault="00E7042B" w:rsidP="00E54D02">
      <w:pPr>
        <w:shd w:val="clear" w:color="auto" w:fill="FFFFFF"/>
        <w:spacing w:after="360" w:line="360" w:lineRule="auto"/>
        <w:rPr>
          <w:color w:val="333333"/>
          <w:lang w:val="en-GB" w:eastAsia="en-GB"/>
        </w:rPr>
      </w:pPr>
    </w:p>
    <w:p w:rsidR="00E7042B" w:rsidRPr="00E54D02" w:rsidRDefault="00E7042B" w:rsidP="00E54D02">
      <w:pPr>
        <w:shd w:val="clear" w:color="auto" w:fill="FFFFFF"/>
        <w:spacing w:after="360" w:line="360" w:lineRule="auto"/>
        <w:rPr>
          <w:color w:val="333333"/>
          <w:lang w:val="en-GB" w:eastAsia="en-GB"/>
        </w:rPr>
      </w:pPr>
    </w:p>
    <w:p w:rsidR="00E7042B" w:rsidRPr="00E54D02" w:rsidRDefault="00E7042B" w:rsidP="00E54D02">
      <w:pPr>
        <w:shd w:val="clear" w:color="auto" w:fill="FFFFFF"/>
        <w:spacing w:after="360" w:line="360" w:lineRule="auto"/>
        <w:rPr>
          <w:color w:val="333333"/>
          <w:lang w:val="en-GB" w:eastAsia="en-GB"/>
        </w:rPr>
      </w:pPr>
    </w:p>
    <w:p w:rsidR="00BB7CAC" w:rsidRPr="00E54D02" w:rsidRDefault="00C95CBD" w:rsidP="00E54D02">
      <w:pPr>
        <w:shd w:val="clear" w:color="auto" w:fill="FFFFFF"/>
        <w:spacing w:after="360" w:line="360" w:lineRule="auto"/>
        <w:rPr>
          <w:color w:val="333333"/>
          <w:lang w:val="en-GB" w:eastAsia="en-GB"/>
        </w:rPr>
      </w:pPr>
      <w:r w:rsidRPr="00E54D02">
        <w:rPr>
          <w:color w:val="333333"/>
          <w:lang w:val="en-GB" w:eastAsia="en-GB"/>
        </w:rPr>
        <w:t>1.</w:t>
      </w:r>
      <w:r w:rsidRPr="00E54D02">
        <w:t xml:space="preserve"> </w:t>
      </w:r>
      <w:proofErr w:type="gramStart"/>
      <w:r w:rsidRPr="00E54D02">
        <w:rPr>
          <w:color w:val="333333"/>
          <w:lang w:val="en-GB" w:eastAsia="en-GB"/>
        </w:rPr>
        <w:t>Produktivita  a</w:t>
      </w:r>
      <w:proofErr w:type="gramEnd"/>
      <w:r w:rsidRPr="00E54D02">
        <w:rPr>
          <w:color w:val="333333"/>
          <w:lang w:val="en-GB" w:eastAsia="en-GB"/>
        </w:rPr>
        <w:t xml:space="preserve"> efektivita </w:t>
      </w:r>
      <w:r w:rsidR="00FF6B11" w:rsidRPr="00E54D02">
        <w:rPr>
          <w:color w:val="333333"/>
          <w:lang w:val="en-GB" w:eastAsia="en-GB"/>
        </w:rPr>
        <w:t xml:space="preserve"> </w:t>
      </w:r>
    </w:p>
    <w:p w:rsidR="00C95CBD" w:rsidRPr="00E54D02" w:rsidRDefault="00C95CBD" w:rsidP="00E54D02">
      <w:pPr>
        <w:shd w:val="clear" w:color="auto" w:fill="FFFFFF"/>
        <w:spacing w:after="360" w:line="360" w:lineRule="auto"/>
        <w:jc w:val="both"/>
        <w:rPr>
          <w:color w:val="333333"/>
          <w:lang w:val="en-GB" w:eastAsia="en-GB"/>
        </w:rPr>
      </w:pPr>
      <w:r w:rsidRPr="00E54D02">
        <w:rPr>
          <w:color w:val="292C2E"/>
        </w:rPr>
        <w:t xml:space="preserve">Tato kapitola je věnována teoretickým východiskům při měření efektivnosti výrobních faktorů z makroekonomické a mikroekonomického pohledu.  Základem je vymezení  samotného pojmu  produktivita a současně  jsou představeny ukazatele za pomocí, kterých se produktivita počítá. Dále jsou charakterizovány hlavní typy ekonomické konvergence. Závěrečná  část této kapitoly je věnována šokům, které mají vliv na efektivní využívání výrobních faktorů. </w:t>
      </w:r>
    </w:p>
    <w:p w:rsidR="00F60024" w:rsidRPr="00E54D02" w:rsidRDefault="00F60024" w:rsidP="00E54D02">
      <w:pPr>
        <w:spacing w:line="360" w:lineRule="auto"/>
        <w:jc w:val="both"/>
        <w:rPr>
          <w:color w:val="292C2E"/>
        </w:rPr>
      </w:pPr>
    </w:p>
    <w:p w:rsidR="00705069" w:rsidRPr="00E54D02" w:rsidRDefault="00705069" w:rsidP="00E54D02">
      <w:pPr>
        <w:pStyle w:val="Odstavecseseznamem"/>
        <w:numPr>
          <w:ilvl w:val="1"/>
          <w:numId w:val="2"/>
        </w:numPr>
        <w:spacing w:after="0" w:line="360" w:lineRule="auto"/>
        <w:jc w:val="both"/>
        <w:rPr>
          <w:rFonts w:ascii="Times New Roman" w:hAnsi="Times New Roman" w:cs="Times New Roman"/>
          <w:color w:val="292C2E"/>
          <w:sz w:val="24"/>
          <w:szCs w:val="24"/>
        </w:rPr>
      </w:pPr>
      <w:r w:rsidRPr="00E54D02">
        <w:rPr>
          <w:rFonts w:ascii="Times New Roman" w:hAnsi="Times New Roman" w:cs="Times New Roman"/>
          <w:color w:val="292C2E"/>
          <w:sz w:val="24"/>
          <w:szCs w:val="24"/>
        </w:rPr>
        <w:t>Definování produktivity</w:t>
      </w:r>
    </w:p>
    <w:p w:rsidR="00F60024" w:rsidRPr="00E54D02" w:rsidRDefault="00F60024" w:rsidP="00E54D02">
      <w:pPr>
        <w:spacing w:line="360" w:lineRule="auto"/>
        <w:jc w:val="both"/>
        <w:rPr>
          <w:color w:val="292C2E"/>
        </w:rPr>
      </w:pPr>
      <w:r w:rsidRPr="00E54D02">
        <w:rPr>
          <w:color w:val="292C2E"/>
        </w:rPr>
        <w:t xml:space="preserve">Cílem produktivity je změřit efektivitu využívání výrobních faktorů. </w:t>
      </w:r>
      <w:r w:rsidR="00241370" w:rsidRPr="00E54D02">
        <w:rPr>
          <w:color w:val="292C2E"/>
        </w:rPr>
        <w:t xml:space="preserve">Produktivita je v obecném pojetí efektivnost využívání výrobních faktorů ať už z hlediska státu či podniku. Týká se jak výrobních podniků, produkujících výrobky, tak nevýrobních podniků, produkujících služby (Synek, 2011). </w:t>
      </w:r>
      <w:r w:rsidRPr="00E54D02">
        <w:rPr>
          <w:color w:val="292C2E"/>
        </w:rPr>
        <w:t xml:space="preserve">Růst produktivity se pak sestává z rozdílů mezi tempem růstu výstupu a tempem růstu vstupu (Fried 2008). Produktivitu můžeme měřit pomoci různých </w:t>
      </w:r>
      <w:r w:rsidR="00241370" w:rsidRPr="00E54D02">
        <w:rPr>
          <w:color w:val="292C2E"/>
        </w:rPr>
        <w:t xml:space="preserve">druhů </w:t>
      </w:r>
      <w:r w:rsidRPr="00E54D02">
        <w:rPr>
          <w:color w:val="292C2E"/>
        </w:rPr>
        <w:t>ukazatelů, kdy záleží na cíli měření a</w:t>
      </w:r>
      <w:r w:rsidR="00C95CBD" w:rsidRPr="00E54D02">
        <w:rPr>
          <w:color w:val="292C2E"/>
        </w:rPr>
        <w:t xml:space="preserve"> často na  dostupnosti dat potřebných k měření produktivity. </w:t>
      </w:r>
    </w:p>
    <w:p w:rsidR="00F60024" w:rsidRPr="00E54D02" w:rsidRDefault="00F60024" w:rsidP="00E54D02">
      <w:pPr>
        <w:spacing w:line="360" w:lineRule="auto"/>
        <w:jc w:val="both"/>
        <w:rPr>
          <w:color w:val="292C2E"/>
        </w:rPr>
      </w:pPr>
    </w:p>
    <w:p w:rsidR="00241370" w:rsidRPr="00E54D02" w:rsidRDefault="00020CE8" w:rsidP="00E54D02">
      <w:pPr>
        <w:spacing w:line="360" w:lineRule="auto"/>
        <w:jc w:val="both"/>
        <w:rPr>
          <w:color w:val="292C2E"/>
        </w:rPr>
      </w:pPr>
      <w:r w:rsidRPr="00E54D02">
        <w:rPr>
          <w:color w:val="292C2E"/>
        </w:rPr>
        <w:t xml:space="preserve">Produktivita </w:t>
      </w:r>
      <w:r w:rsidR="00241370" w:rsidRPr="00E54D02">
        <w:rPr>
          <w:color w:val="292C2E"/>
        </w:rPr>
        <w:t xml:space="preserve">můžeme vyjádřit jako poměr </w:t>
      </w:r>
      <w:proofErr w:type="gramStart"/>
      <w:r w:rsidR="00241370" w:rsidRPr="00E54D02">
        <w:rPr>
          <w:color w:val="292C2E"/>
        </w:rPr>
        <w:t>výstupů k vstupů tzn.</w:t>
      </w:r>
      <w:proofErr w:type="gramEnd"/>
    </w:p>
    <w:p w:rsidR="00241370" w:rsidRPr="00E54D02" w:rsidRDefault="00241370" w:rsidP="00E54D02">
      <w:pPr>
        <w:spacing w:line="360" w:lineRule="auto"/>
        <w:jc w:val="both"/>
        <w:rPr>
          <w:color w:val="292C2E"/>
        </w:rPr>
      </w:pPr>
    </w:p>
    <w:p w:rsidR="00241370" w:rsidRPr="00E54D02" w:rsidRDefault="004138FB" w:rsidP="00E54D02">
      <w:pPr>
        <w:spacing w:line="360" w:lineRule="auto"/>
        <w:jc w:val="center"/>
        <w:rPr>
          <w:color w:val="292C2E"/>
        </w:rPr>
      </w:pPr>
      <m:oMathPara>
        <m:oMath>
          <m:r>
            <w:rPr>
              <w:rFonts w:ascii="Cambria Math" w:hAnsi="Cambria Math"/>
              <w:color w:val="292C2E"/>
            </w:rPr>
            <m:t xml:space="preserve">Produktivita </m:t>
          </m:r>
          <m:r>
            <m:rPr>
              <m:sty m:val="p"/>
            </m:rPr>
            <w:rPr>
              <w:rFonts w:ascii="Cambria Math" w:hAnsi="Cambria Math"/>
              <w:color w:val="292C2E"/>
            </w:rPr>
            <m:t>=</m:t>
          </m:r>
          <m:f>
            <m:fPr>
              <m:ctrlPr>
                <w:rPr>
                  <w:rFonts w:ascii="Cambria Math" w:hAnsi="Cambria Math"/>
                  <w:color w:val="292C2E"/>
                </w:rPr>
              </m:ctrlPr>
            </m:fPr>
            <m:num>
              <m:r>
                <m:rPr>
                  <m:sty m:val="p"/>
                </m:rPr>
                <w:rPr>
                  <w:rFonts w:ascii="Cambria Math" w:hAnsi="Cambria Math"/>
                  <w:color w:val="292C2E"/>
                </w:rPr>
                <m:t>množství vyprodukovaných výstup</m:t>
              </m:r>
            </m:num>
            <m:den>
              <m:r>
                <m:rPr>
                  <m:sty m:val="p"/>
                </m:rPr>
                <w:rPr>
                  <w:rFonts w:ascii="Cambria Math" w:hAnsi="Cambria Math"/>
                  <w:color w:val="292C2E"/>
                </w:rPr>
                <m:t>množství spotřebovaných vstupů</m:t>
              </m:r>
            </m:den>
          </m:f>
        </m:oMath>
      </m:oMathPara>
    </w:p>
    <w:p w:rsidR="004138FB" w:rsidRPr="00E54D02" w:rsidRDefault="004138FB" w:rsidP="00E54D02">
      <w:pPr>
        <w:spacing w:line="360" w:lineRule="auto"/>
        <w:jc w:val="both"/>
        <w:rPr>
          <w:color w:val="292C2E"/>
        </w:rPr>
      </w:pPr>
    </w:p>
    <w:p w:rsidR="00241370" w:rsidRPr="00E54D02" w:rsidRDefault="00241370" w:rsidP="00E54D02">
      <w:pPr>
        <w:spacing w:line="360" w:lineRule="auto"/>
        <w:jc w:val="both"/>
      </w:pPr>
      <w:r w:rsidRPr="00E54D02">
        <w:rPr>
          <w:color w:val="292C2E"/>
        </w:rPr>
        <w:t>Z tohoto poměru je zřejmé, že čím více bude vyprodukováno výrobků a služeb za použití menšího množství zdrojů, tím je produktivita vyšší (Coelli &amp; kol., 2005</w:t>
      </w:r>
      <w:r w:rsidRPr="00E54D02">
        <w:t>).</w:t>
      </w:r>
    </w:p>
    <w:p w:rsidR="00241370" w:rsidRPr="00E54D02" w:rsidRDefault="00241370" w:rsidP="00E54D02">
      <w:pPr>
        <w:spacing w:line="360" w:lineRule="auto"/>
        <w:jc w:val="both"/>
        <w:rPr>
          <w:color w:val="292C2E"/>
        </w:rPr>
      </w:pPr>
    </w:p>
    <w:p w:rsidR="00020CE8" w:rsidRPr="00E54D02" w:rsidRDefault="00020CE8" w:rsidP="00E54D02">
      <w:pPr>
        <w:spacing w:line="360" w:lineRule="auto"/>
        <w:jc w:val="both"/>
        <w:rPr>
          <w:color w:val="292C2E"/>
        </w:rPr>
      </w:pPr>
      <w:r w:rsidRPr="00E54D02">
        <w:rPr>
          <w:color w:val="292C2E"/>
        </w:rPr>
        <w:t>Měření produktivity získává na významu v případě, že se srovnává s předchozím obdobím nebo s podniky produkující podobné výstupy.</w:t>
      </w:r>
      <w:r w:rsidR="001F49F1" w:rsidRPr="00E54D02">
        <w:rPr>
          <w:color w:val="292C2E"/>
        </w:rPr>
        <w:t xml:space="preserve"> </w:t>
      </w:r>
      <w:r w:rsidRPr="00E54D02">
        <w:rPr>
          <w:color w:val="292C2E"/>
        </w:rPr>
        <w:t xml:space="preserve">Zlepšením produktivity se podnik snaží zlepšit </w:t>
      </w:r>
      <w:r w:rsidRPr="00E54D02">
        <w:rPr>
          <w:color w:val="292C2E"/>
        </w:rPr>
        <w:lastRenderedPageBreak/>
        <w:t>fyzického využívání zdrojů, tj. má motivovat podniky k pokusům o větší produkci výstupů s menším počtem vstupů při zachování kvality.</w:t>
      </w:r>
      <w:r w:rsidR="001F49F1" w:rsidRPr="00E54D02">
        <w:rPr>
          <w:color w:val="292C2E"/>
        </w:rPr>
        <w:t xml:space="preserve">  </w:t>
      </w:r>
      <w:r w:rsidR="00D32815" w:rsidRPr="00E54D02">
        <w:rPr>
          <w:color w:val="292C2E"/>
        </w:rPr>
        <w:t xml:space="preserve"> </w:t>
      </w:r>
      <w:r w:rsidR="001F49F1" w:rsidRPr="00E54D02">
        <w:rPr>
          <w:color w:val="292C2E"/>
        </w:rPr>
        <w:t xml:space="preserve">Měření produktivity umožní manažerům podniků oddělit změny zisku vzniklé v důsledku výrobních faktorů a prodejní aktivity od změn v důsledku změn prodejních cen ve vztahu ke vstupním nákladům (Banker et al. 1989).  Z dlouhodobého horizontu podnicím ve </w:t>
      </w:r>
      <w:proofErr w:type="gramStart"/>
      <w:r w:rsidR="001F49F1" w:rsidRPr="00E54D02">
        <w:rPr>
          <w:color w:val="292C2E"/>
        </w:rPr>
        <w:t>stejném</w:t>
      </w:r>
      <w:proofErr w:type="gramEnd"/>
      <w:r w:rsidR="001F49F1" w:rsidRPr="00E54D02">
        <w:rPr>
          <w:color w:val="292C2E"/>
        </w:rPr>
        <w:t xml:space="preserve"> oblasti  vzniká udržitelná konkurenční výhoda pouze vyšší produktivitou než konkurence.</w:t>
      </w:r>
    </w:p>
    <w:p w:rsidR="00705069" w:rsidRPr="00E54D02" w:rsidRDefault="00705069" w:rsidP="00E54D02">
      <w:pPr>
        <w:spacing w:line="360" w:lineRule="auto"/>
        <w:jc w:val="both"/>
        <w:rPr>
          <w:color w:val="292C2E"/>
        </w:rPr>
      </w:pPr>
    </w:p>
    <w:p w:rsidR="00705069" w:rsidRPr="00E54D02" w:rsidRDefault="00705069" w:rsidP="00E54D02">
      <w:pPr>
        <w:spacing w:line="360" w:lineRule="auto"/>
        <w:jc w:val="both"/>
        <w:rPr>
          <w:color w:val="292C2E"/>
        </w:rPr>
      </w:pPr>
    </w:p>
    <w:p w:rsidR="007F0EE3" w:rsidRPr="00E54D02" w:rsidRDefault="007E09CB" w:rsidP="00E54D02">
      <w:pPr>
        <w:pStyle w:val="Odstavecseseznamem"/>
        <w:numPr>
          <w:ilvl w:val="1"/>
          <w:numId w:val="2"/>
        </w:numPr>
        <w:spacing w:after="0" w:line="360" w:lineRule="auto"/>
        <w:jc w:val="both"/>
        <w:rPr>
          <w:rFonts w:ascii="Times New Roman" w:hAnsi="Times New Roman" w:cs="Times New Roman"/>
          <w:color w:val="292C2E"/>
          <w:sz w:val="24"/>
          <w:szCs w:val="24"/>
        </w:rPr>
      </w:pPr>
      <w:r w:rsidRPr="00E54D02">
        <w:rPr>
          <w:rFonts w:ascii="Times New Roman" w:hAnsi="Times New Roman" w:cs="Times New Roman"/>
          <w:color w:val="292C2E"/>
          <w:sz w:val="24"/>
          <w:szCs w:val="24"/>
        </w:rPr>
        <w:t>Měřen</w:t>
      </w:r>
      <w:r w:rsidR="00705069" w:rsidRPr="00E54D02">
        <w:rPr>
          <w:rFonts w:ascii="Times New Roman" w:hAnsi="Times New Roman" w:cs="Times New Roman"/>
          <w:color w:val="292C2E"/>
          <w:sz w:val="24"/>
          <w:szCs w:val="24"/>
        </w:rPr>
        <w:t>í produk</w:t>
      </w:r>
      <w:r w:rsidR="00F76ABF" w:rsidRPr="00E54D02">
        <w:rPr>
          <w:rFonts w:ascii="Times New Roman" w:hAnsi="Times New Roman" w:cs="Times New Roman"/>
          <w:color w:val="292C2E"/>
          <w:sz w:val="24"/>
          <w:szCs w:val="24"/>
        </w:rPr>
        <w:t xml:space="preserve">tivity </w:t>
      </w:r>
    </w:p>
    <w:p w:rsidR="00705069" w:rsidRPr="00E54D02" w:rsidRDefault="00705069" w:rsidP="00E54D02">
      <w:pPr>
        <w:pStyle w:val="Odstavecseseznamem"/>
        <w:spacing w:after="0" w:line="360" w:lineRule="auto"/>
        <w:jc w:val="both"/>
        <w:rPr>
          <w:rFonts w:ascii="Times New Roman" w:hAnsi="Times New Roman" w:cs="Times New Roman"/>
          <w:color w:val="292C2E"/>
          <w:sz w:val="24"/>
          <w:szCs w:val="24"/>
        </w:rPr>
      </w:pPr>
    </w:p>
    <w:p w:rsidR="00C848AF" w:rsidRPr="00E54D02" w:rsidRDefault="00C848AF" w:rsidP="00E54D02">
      <w:pPr>
        <w:spacing w:line="360" w:lineRule="auto"/>
        <w:jc w:val="both"/>
        <w:rPr>
          <w:color w:val="292C2E"/>
        </w:rPr>
      </w:pPr>
      <w:r w:rsidRPr="00E54D02">
        <w:rPr>
          <w:color w:val="292C2E"/>
        </w:rPr>
        <w:t>Při konstrukci ukazatelů</w:t>
      </w:r>
      <w:r w:rsidR="00705069" w:rsidRPr="00E54D02">
        <w:rPr>
          <w:color w:val="292C2E"/>
        </w:rPr>
        <w:t xml:space="preserve"> pro měření</w:t>
      </w:r>
      <w:r w:rsidRPr="00E54D02">
        <w:rPr>
          <w:color w:val="292C2E"/>
        </w:rPr>
        <w:t xml:space="preserve"> produktivity ze skutečných dat vzniká řada problémů.  První skupina problémů při měření produktivity se týká v</w:t>
      </w:r>
      <w:r w:rsidR="00A47D08" w:rsidRPr="00E54D02">
        <w:rPr>
          <w:color w:val="292C2E"/>
        </w:rPr>
        <w:t>ýs</w:t>
      </w:r>
      <w:r w:rsidRPr="00E54D02">
        <w:rPr>
          <w:color w:val="292C2E"/>
        </w:rPr>
        <w:t>tupů. Z podnikového pohledu řada firem produkuje více než jeden výstup. Výstupy by být agregovány do jednoho výstupního ukazatele.  Vzhledem k tomuto omezení dat je standardním přístupem použití výnosů</w:t>
      </w:r>
      <w:r w:rsidR="00A52254" w:rsidRPr="00E54D02">
        <w:rPr>
          <w:color w:val="292C2E"/>
        </w:rPr>
        <w:t>, přidanné hodnoty</w:t>
      </w:r>
      <w:r w:rsidRPr="00E54D02">
        <w:rPr>
          <w:color w:val="292C2E"/>
        </w:rPr>
        <w:t xml:space="preserve"> či tržeb k měření produkce. V případě, že je potřebné jsou deflovany na reálné hodnoty za pomocí řady cenových deflátorů, kdy je možné využít indexy cen výrobců </w:t>
      </w:r>
      <w:r w:rsidR="00AB3F83" w:rsidRPr="00E54D02">
        <w:rPr>
          <w:color w:val="292C2E"/>
        </w:rPr>
        <w:t>např. z</w:t>
      </w:r>
      <w:r w:rsidRPr="00E54D02">
        <w:rPr>
          <w:color w:val="292C2E"/>
        </w:rPr>
        <w:t>emědělství, průmyslu, stavebnictví a další.</w:t>
      </w:r>
      <w:r w:rsidR="00A47D08" w:rsidRPr="00E54D02">
        <w:rPr>
          <w:color w:val="292C2E"/>
        </w:rPr>
        <w:t xml:space="preserve"> Deflované tržby či výnosy přesněji odrážejí produkci podniku.   Využítí agregovaných dat je současně obtížnější pro tvorbu ekonomických rozhodnutí uvnitř podniku. Naopak pro mezipodnikové srovnávání je jich využití vhodné. </w:t>
      </w:r>
      <w:r w:rsidRPr="00E54D02">
        <w:rPr>
          <w:color w:val="292C2E"/>
        </w:rPr>
        <w:t xml:space="preserve"> </w:t>
      </w:r>
      <w:r w:rsidR="00AB3F83" w:rsidRPr="00E54D02">
        <w:rPr>
          <w:color w:val="292C2E"/>
        </w:rPr>
        <w:t xml:space="preserve">Syverson (2010) za další problém považuje, že mikrodata </w:t>
      </w:r>
      <w:r w:rsidR="00A47D08" w:rsidRPr="00E54D02">
        <w:rPr>
          <w:color w:val="292C2E"/>
        </w:rPr>
        <w:t>podniků nebosahují kvalitativní měřítka výstupu, což může být problém</w:t>
      </w:r>
      <w:r w:rsidR="00AB3F83" w:rsidRPr="00E54D02">
        <w:rPr>
          <w:color w:val="292C2E"/>
        </w:rPr>
        <w:t>,</w:t>
      </w:r>
      <w:r w:rsidR="00A47D08" w:rsidRPr="00E54D02">
        <w:rPr>
          <w:color w:val="292C2E"/>
        </w:rPr>
        <w:t xml:space="preserve"> pokud se rozdíly v kvalitě produktů plně </w:t>
      </w:r>
      <w:r w:rsidR="00AB3F83" w:rsidRPr="00E54D02">
        <w:rPr>
          <w:color w:val="292C2E"/>
        </w:rPr>
        <w:t>ne</w:t>
      </w:r>
      <w:r w:rsidR="00A47D08" w:rsidRPr="00E54D02">
        <w:rPr>
          <w:color w:val="292C2E"/>
        </w:rPr>
        <w:t xml:space="preserve">promítnou do cen. </w:t>
      </w:r>
    </w:p>
    <w:p w:rsidR="00705069" w:rsidRPr="00E54D02" w:rsidRDefault="00705069" w:rsidP="00E54D02">
      <w:pPr>
        <w:spacing w:line="360" w:lineRule="auto"/>
        <w:jc w:val="both"/>
        <w:rPr>
          <w:color w:val="292C2E"/>
        </w:rPr>
      </w:pPr>
    </w:p>
    <w:p w:rsidR="00285F74" w:rsidRPr="00E54D02" w:rsidRDefault="00A47D08" w:rsidP="00E54D02">
      <w:pPr>
        <w:spacing w:line="360" w:lineRule="auto"/>
        <w:jc w:val="both"/>
        <w:rPr>
          <w:color w:val="292C2E"/>
        </w:rPr>
      </w:pPr>
      <w:r w:rsidRPr="00E54D02">
        <w:rPr>
          <w:color w:val="292C2E"/>
        </w:rPr>
        <w:t>Druhá</w:t>
      </w:r>
      <w:r w:rsidR="00C848AF" w:rsidRPr="00E54D02">
        <w:rPr>
          <w:color w:val="292C2E"/>
        </w:rPr>
        <w:t xml:space="preserve"> řada problému při měření </w:t>
      </w:r>
      <w:r w:rsidR="00705069" w:rsidRPr="00E54D02">
        <w:rPr>
          <w:color w:val="292C2E"/>
        </w:rPr>
        <w:t>produk</w:t>
      </w:r>
      <w:r w:rsidRPr="00E54D02">
        <w:rPr>
          <w:color w:val="292C2E"/>
        </w:rPr>
        <w:t xml:space="preserve">tivity </w:t>
      </w:r>
      <w:r w:rsidR="00C848AF" w:rsidRPr="00E54D02">
        <w:rPr>
          <w:color w:val="292C2E"/>
        </w:rPr>
        <w:t>se týká vstupů</w:t>
      </w:r>
      <w:r w:rsidR="00A52254" w:rsidRPr="00E54D02">
        <w:rPr>
          <w:color w:val="292C2E"/>
        </w:rPr>
        <w:t>. U výrobního faktoru práce existuje několi možnost volby, zda použít počet změstnanců, počet odpracovaných hodin, velikost mzdových nákladů či velikost osobních nákladů. Každý z uvedených ukazatelů má své výhody a nevýhody. Kapitál se obvykle měří velikostí dlouhodobého majetku či celkových</w:t>
      </w:r>
      <w:r w:rsidR="00AB3F83" w:rsidRPr="00E54D02">
        <w:rPr>
          <w:color w:val="292C2E"/>
        </w:rPr>
        <w:t xml:space="preserve"> aktiv. U kapitálu může hrát významnou</w:t>
      </w:r>
      <w:r w:rsidR="00A52254" w:rsidRPr="00E54D02">
        <w:rPr>
          <w:color w:val="292C2E"/>
        </w:rPr>
        <w:t xml:space="preserve"> roli i přístup k odepisování dlouhodobého majetku, který snižuje v čase jeho hodnotu a zachyuje jeho opotřebení.  Mezi další problem je zahrnutí i nehmotného dlouhodobého majektu, který se může, ale take nemusí účastnit produkčního procesu. </w:t>
      </w:r>
      <w:r w:rsidR="00750FCD" w:rsidRPr="00E54D02">
        <w:rPr>
          <w:color w:val="292C2E"/>
        </w:rPr>
        <w:t>Růst produktivity zvyšuje finanční výkonnost podniků, ale jeho přínos je v běžných finančních výkazech vyjádřených v běžných cenách skryt</w:t>
      </w:r>
      <w:r w:rsidR="00AB3F83" w:rsidRPr="00E54D02">
        <w:rPr>
          <w:color w:val="292C2E"/>
        </w:rPr>
        <w:t xml:space="preserve"> </w:t>
      </w:r>
      <w:r w:rsidR="00750FCD" w:rsidRPr="00E54D02">
        <w:rPr>
          <w:color w:val="292C2E"/>
        </w:rPr>
        <w:t>(Grifell-Tatje  et al. 2018)</w:t>
      </w:r>
      <w:r w:rsidR="00AB3F83" w:rsidRPr="00E54D02">
        <w:rPr>
          <w:color w:val="292C2E"/>
        </w:rPr>
        <w:t>.</w:t>
      </w:r>
    </w:p>
    <w:p w:rsidR="00D32815" w:rsidRPr="00E54D02" w:rsidRDefault="00D32815" w:rsidP="00E54D02">
      <w:pPr>
        <w:spacing w:line="360" w:lineRule="auto"/>
        <w:jc w:val="both"/>
        <w:rPr>
          <w:color w:val="292C2E"/>
        </w:rPr>
      </w:pPr>
    </w:p>
    <w:p w:rsidR="00D32815" w:rsidRPr="00E54D02" w:rsidRDefault="00D32815" w:rsidP="00E54D02">
      <w:pPr>
        <w:spacing w:line="360" w:lineRule="auto"/>
        <w:jc w:val="both"/>
        <w:rPr>
          <w:color w:val="292C2E"/>
        </w:rPr>
      </w:pPr>
    </w:p>
    <w:p w:rsidR="00D32815" w:rsidRPr="00E54D02" w:rsidRDefault="00705069" w:rsidP="00E54D02">
      <w:pPr>
        <w:pStyle w:val="Odstavecseseznamem"/>
        <w:numPr>
          <w:ilvl w:val="2"/>
          <w:numId w:val="2"/>
        </w:numPr>
        <w:spacing w:after="0" w:line="360" w:lineRule="auto"/>
        <w:jc w:val="both"/>
        <w:rPr>
          <w:rFonts w:ascii="Times New Roman" w:hAnsi="Times New Roman" w:cs="Times New Roman"/>
          <w:color w:val="292C2E"/>
          <w:sz w:val="24"/>
          <w:szCs w:val="24"/>
        </w:rPr>
      </w:pPr>
      <w:r w:rsidRPr="00E54D02">
        <w:rPr>
          <w:rFonts w:ascii="Times New Roman" w:hAnsi="Times New Roman" w:cs="Times New Roman"/>
          <w:color w:val="292C2E"/>
          <w:sz w:val="24"/>
          <w:szCs w:val="24"/>
        </w:rPr>
        <w:t xml:space="preserve">Měření produktivity – základní ukazatelé </w:t>
      </w:r>
    </w:p>
    <w:p w:rsidR="00D32815" w:rsidRPr="00E54D02" w:rsidRDefault="00D32815" w:rsidP="00E54D02">
      <w:pPr>
        <w:spacing w:line="360" w:lineRule="auto"/>
        <w:jc w:val="both"/>
        <w:rPr>
          <w:color w:val="292C2E"/>
        </w:rPr>
      </w:pPr>
    </w:p>
    <w:p w:rsidR="00AB3F83" w:rsidRPr="00E54D02" w:rsidRDefault="00D32815" w:rsidP="00E54D02">
      <w:pPr>
        <w:spacing w:line="360" w:lineRule="auto"/>
        <w:jc w:val="both"/>
        <w:rPr>
          <w:color w:val="292C2E"/>
        </w:rPr>
      </w:pPr>
      <w:r w:rsidRPr="00E54D02">
        <w:rPr>
          <w:color w:val="292C2E"/>
        </w:rPr>
        <w:t xml:space="preserve">V této části budou popsány základní ukazatlele měřící produktivitu a současně </w:t>
      </w:r>
      <w:r w:rsidR="001453A5" w:rsidRPr="00E54D02">
        <w:rPr>
          <w:color w:val="292C2E"/>
        </w:rPr>
        <w:t xml:space="preserve">v následující části i </w:t>
      </w:r>
      <w:r w:rsidRPr="00E54D02">
        <w:rPr>
          <w:color w:val="292C2E"/>
        </w:rPr>
        <w:t>ukazatelé, které s měřením produktivity blízce souvisí</w:t>
      </w:r>
      <w:r w:rsidR="001453A5" w:rsidRPr="00E54D02">
        <w:rPr>
          <w:color w:val="292C2E"/>
        </w:rPr>
        <w:t>.</w:t>
      </w:r>
      <w:r w:rsidRPr="00E54D02">
        <w:rPr>
          <w:color w:val="292C2E"/>
        </w:rPr>
        <w:t xml:space="preserve"> </w:t>
      </w:r>
      <w:r w:rsidR="00AB3F83" w:rsidRPr="00E54D02">
        <w:rPr>
          <w:color w:val="292C2E"/>
        </w:rPr>
        <w:t xml:space="preserve"> </w:t>
      </w:r>
      <w:r w:rsidR="001453A5" w:rsidRPr="00E54D02">
        <w:rPr>
          <w:color w:val="292C2E"/>
        </w:rPr>
        <w:t xml:space="preserve">Relativně úplný  přehled, jak můžeme produktuvitu měřit pomocí několika druhů nám poskytuje následující tabulka </w:t>
      </w:r>
      <w:proofErr w:type="gramStart"/>
      <w:r w:rsidR="001453A5" w:rsidRPr="00E54D02">
        <w:rPr>
          <w:color w:val="292C2E"/>
        </w:rPr>
        <w:t>č. X .</w:t>
      </w:r>
      <w:proofErr w:type="gramEnd"/>
    </w:p>
    <w:p w:rsidR="00705069" w:rsidRPr="00E54D02" w:rsidRDefault="001453A5" w:rsidP="00E54D02">
      <w:pPr>
        <w:spacing w:line="360" w:lineRule="auto"/>
        <w:jc w:val="both"/>
        <w:rPr>
          <w:color w:val="292C2E"/>
        </w:rPr>
      </w:pPr>
      <w:r w:rsidRPr="00E54D02">
        <w:rPr>
          <w:color w:val="292C2E"/>
        </w:rPr>
        <w:t xml:space="preserve"> </w:t>
      </w:r>
    </w:p>
    <w:p w:rsidR="00705069" w:rsidRPr="00E54D02" w:rsidRDefault="00705069" w:rsidP="00E54D02">
      <w:pPr>
        <w:spacing w:line="360" w:lineRule="auto"/>
      </w:pPr>
      <w:proofErr w:type="gramStart"/>
      <w:r w:rsidRPr="00E54D02">
        <w:t>Tab.</w:t>
      </w:r>
      <w:r w:rsidR="001453A5" w:rsidRPr="00E54D02">
        <w:t>X</w:t>
      </w:r>
      <w:r w:rsidRPr="00E54D02">
        <w:t xml:space="preserve"> .: Přehled</w:t>
      </w:r>
      <w:proofErr w:type="gramEnd"/>
      <w:r w:rsidRPr="00E54D02">
        <w:t xml:space="preserve"> hlavních měr produktivity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1980"/>
        <w:gridCol w:w="1980"/>
        <w:gridCol w:w="1980"/>
      </w:tblGrid>
      <w:tr w:rsidR="00705069" w:rsidRPr="00E54D02" w:rsidTr="006E056B">
        <w:trPr>
          <w:cantSplit/>
        </w:trPr>
        <w:tc>
          <w:tcPr>
            <w:tcW w:w="1548" w:type="dxa"/>
            <w:vMerge w:val="restart"/>
            <w:tcBorders>
              <w:left w:val="nil"/>
            </w:tcBorders>
          </w:tcPr>
          <w:p w:rsidR="00705069" w:rsidRPr="00E54D02" w:rsidRDefault="00705069" w:rsidP="00E54D02">
            <w:pPr>
              <w:spacing w:line="360" w:lineRule="auto"/>
              <w:jc w:val="center"/>
            </w:pPr>
          </w:p>
          <w:p w:rsidR="00705069" w:rsidRPr="00E54D02" w:rsidRDefault="00705069" w:rsidP="00E54D02">
            <w:pPr>
              <w:spacing w:line="360" w:lineRule="auto"/>
              <w:jc w:val="center"/>
              <w:rPr>
                <w:lang w:val="en-GB"/>
              </w:rPr>
            </w:pPr>
            <w:r w:rsidRPr="00E54D02">
              <w:rPr>
                <w:lang w:val="en-GB"/>
              </w:rPr>
              <w:t>Ukazatel výstupu</w:t>
            </w:r>
          </w:p>
        </w:tc>
        <w:tc>
          <w:tcPr>
            <w:tcW w:w="7920" w:type="dxa"/>
            <w:gridSpan w:val="4"/>
            <w:tcBorders>
              <w:right w:val="nil"/>
            </w:tcBorders>
          </w:tcPr>
          <w:p w:rsidR="00705069" w:rsidRPr="00E54D02" w:rsidRDefault="00705069" w:rsidP="00E54D02">
            <w:pPr>
              <w:spacing w:line="360" w:lineRule="auto"/>
              <w:jc w:val="center"/>
              <w:rPr>
                <w:lang w:val="en-GB"/>
              </w:rPr>
            </w:pPr>
            <w:r w:rsidRPr="00E54D02">
              <w:rPr>
                <w:lang w:val="en-GB"/>
              </w:rPr>
              <w:t>Ukazatel vstupu</w:t>
            </w:r>
          </w:p>
        </w:tc>
      </w:tr>
      <w:tr w:rsidR="00705069" w:rsidRPr="00E54D02" w:rsidTr="006E056B">
        <w:trPr>
          <w:cantSplit/>
        </w:trPr>
        <w:tc>
          <w:tcPr>
            <w:tcW w:w="1548" w:type="dxa"/>
            <w:vMerge/>
            <w:tcBorders>
              <w:left w:val="nil"/>
            </w:tcBorders>
          </w:tcPr>
          <w:p w:rsidR="00705069" w:rsidRPr="00E54D02" w:rsidRDefault="00705069" w:rsidP="00E54D02">
            <w:pPr>
              <w:spacing w:line="360" w:lineRule="auto"/>
              <w:jc w:val="center"/>
              <w:rPr>
                <w:lang w:val="en-GB"/>
              </w:rPr>
            </w:pPr>
          </w:p>
        </w:tc>
        <w:tc>
          <w:tcPr>
            <w:tcW w:w="1980" w:type="dxa"/>
          </w:tcPr>
          <w:p w:rsidR="00705069" w:rsidRPr="00E54D02" w:rsidRDefault="00705069" w:rsidP="00E54D02">
            <w:pPr>
              <w:spacing w:line="360" w:lineRule="auto"/>
              <w:jc w:val="center"/>
              <w:rPr>
                <w:lang w:val="en-GB"/>
              </w:rPr>
            </w:pPr>
          </w:p>
          <w:p w:rsidR="00705069" w:rsidRPr="00E54D02" w:rsidRDefault="00705069" w:rsidP="00E54D02">
            <w:pPr>
              <w:spacing w:line="360" w:lineRule="auto"/>
              <w:jc w:val="center"/>
              <w:rPr>
                <w:lang w:val="en-GB"/>
              </w:rPr>
            </w:pPr>
            <w:r w:rsidRPr="00E54D02">
              <w:rPr>
                <w:lang w:val="en-GB"/>
              </w:rPr>
              <w:t>Práce</w:t>
            </w:r>
          </w:p>
        </w:tc>
        <w:tc>
          <w:tcPr>
            <w:tcW w:w="1980" w:type="dxa"/>
          </w:tcPr>
          <w:p w:rsidR="00705069" w:rsidRPr="00E54D02" w:rsidRDefault="00705069" w:rsidP="00E54D02">
            <w:pPr>
              <w:spacing w:line="360" w:lineRule="auto"/>
              <w:jc w:val="center"/>
              <w:rPr>
                <w:lang w:val="en-GB"/>
              </w:rPr>
            </w:pPr>
          </w:p>
          <w:p w:rsidR="00705069" w:rsidRPr="00E54D02" w:rsidRDefault="00705069" w:rsidP="00E54D02">
            <w:pPr>
              <w:spacing w:line="360" w:lineRule="auto"/>
              <w:jc w:val="center"/>
              <w:rPr>
                <w:lang w:val="en-GB"/>
              </w:rPr>
            </w:pPr>
            <w:r w:rsidRPr="00E54D02">
              <w:rPr>
                <w:lang w:val="en-GB"/>
              </w:rPr>
              <w:t>Kapitál</w:t>
            </w:r>
          </w:p>
        </w:tc>
        <w:tc>
          <w:tcPr>
            <w:tcW w:w="1980" w:type="dxa"/>
          </w:tcPr>
          <w:p w:rsidR="00705069" w:rsidRPr="00E54D02" w:rsidRDefault="00705069" w:rsidP="00E54D02">
            <w:pPr>
              <w:spacing w:line="360" w:lineRule="auto"/>
              <w:jc w:val="center"/>
              <w:rPr>
                <w:lang w:val="en-GB"/>
              </w:rPr>
            </w:pPr>
          </w:p>
          <w:p w:rsidR="00705069" w:rsidRPr="00E54D02" w:rsidRDefault="00705069" w:rsidP="00E54D02">
            <w:pPr>
              <w:spacing w:line="360" w:lineRule="auto"/>
              <w:jc w:val="center"/>
              <w:rPr>
                <w:lang w:val="en-GB"/>
              </w:rPr>
            </w:pPr>
            <w:r w:rsidRPr="00E54D02">
              <w:rPr>
                <w:lang w:val="en-GB"/>
              </w:rPr>
              <w:t>Kapitál a práce</w:t>
            </w:r>
          </w:p>
        </w:tc>
        <w:tc>
          <w:tcPr>
            <w:tcW w:w="1980" w:type="dxa"/>
            <w:tcBorders>
              <w:right w:val="nil"/>
            </w:tcBorders>
          </w:tcPr>
          <w:p w:rsidR="00705069" w:rsidRPr="00E54D02" w:rsidRDefault="00705069" w:rsidP="00E54D02">
            <w:pPr>
              <w:spacing w:line="360" w:lineRule="auto"/>
              <w:jc w:val="center"/>
              <w:rPr>
                <w:lang w:val="en-GB"/>
              </w:rPr>
            </w:pPr>
            <w:r w:rsidRPr="00E54D02">
              <w:rPr>
                <w:lang w:val="en-GB"/>
              </w:rPr>
              <w:t>Kapitál, práce a mezispotřeba (energie, materiál,, služby)</w:t>
            </w:r>
          </w:p>
        </w:tc>
      </w:tr>
      <w:tr w:rsidR="00705069" w:rsidRPr="00E54D02" w:rsidTr="006E056B">
        <w:trPr>
          <w:cantSplit/>
        </w:trPr>
        <w:tc>
          <w:tcPr>
            <w:tcW w:w="1548" w:type="dxa"/>
            <w:tcBorders>
              <w:left w:val="nil"/>
            </w:tcBorders>
            <w:shd w:val="clear" w:color="auto" w:fill="auto"/>
          </w:tcPr>
          <w:p w:rsidR="00705069" w:rsidRPr="00E54D02" w:rsidRDefault="00705069" w:rsidP="00E54D02">
            <w:pPr>
              <w:spacing w:line="360" w:lineRule="auto"/>
              <w:jc w:val="center"/>
              <w:rPr>
                <w:lang w:val="en-GB"/>
              </w:rPr>
            </w:pPr>
          </w:p>
          <w:p w:rsidR="00705069" w:rsidRPr="00E54D02" w:rsidRDefault="00705069" w:rsidP="00E54D02">
            <w:pPr>
              <w:spacing w:line="360" w:lineRule="auto"/>
              <w:jc w:val="center"/>
              <w:rPr>
                <w:lang w:val="en-GB"/>
              </w:rPr>
            </w:pPr>
            <w:r w:rsidRPr="00E54D02">
              <w:rPr>
                <w:lang w:val="en-GB"/>
              </w:rPr>
              <w:t>Produkce</w:t>
            </w:r>
          </w:p>
          <w:p w:rsidR="00705069" w:rsidRPr="00E54D02" w:rsidRDefault="00705069" w:rsidP="00E54D02">
            <w:pPr>
              <w:spacing w:line="360" w:lineRule="auto"/>
              <w:jc w:val="center"/>
              <w:rPr>
                <w:lang w:val="en-GB"/>
              </w:rPr>
            </w:pPr>
          </w:p>
          <w:p w:rsidR="00705069" w:rsidRPr="00E54D02" w:rsidRDefault="00705069" w:rsidP="00E54D02">
            <w:pPr>
              <w:spacing w:line="360" w:lineRule="auto"/>
              <w:jc w:val="center"/>
              <w:rPr>
                <w:lang w:val="en-GB"/>
              </w:rPr>
            </w:pPr>
          </w:p>
        </w:tc>
        <w:tc>
          <w:tcPr>
            <w:tcW w:w="1980" w:type="dxa"/>
          </w:tcPr>
          <w:p w:rsidR="00705069" w:rsidRPr="00E54D02" w:rsidRDefault="00705069" w:rsidP="00E54D02">
            <w:pPr>
              <w:spacing w:line="360" w:lineRule="auto"/>
              <w:jc w:val="center"/>
              <w:rPr>
                <w:lang w:val="pl-PL"/>
              </w:rPr>
            </w:pPr>
            <w:r w:rsidRPr="00E54D02">
              <w:rPr>
                <w:lang w:val="pl-PL"/>
              </w:rPr>
              <w:t>Produktivita práce (založená na  produkci)</w:t>
            </w:r>
          </w:p>
        </w:tc>
        <w:tc>
          <w:tcPr>
            <w:tcW w:w="1980" w:type="dxa"/>
          </w:tcPr>
          <w:p w:rsidR="00705069" w:rsidRPr="00E54D02" w:rsidRDefault="00705069" w:rsidP="00E54D02">
            <w:pPr>
              <w:spacing w:line="360" w:lineRule="auto"/>
              <w:jc w:val="center"/>
              <w:rPr>
                <w:lang w:val="pl-PL"/>
              </w:rPr>
            </w:pPr>
            <w:r w:rsidRPr="00E54D02">
              <w:rPr>
                <w:lang w:val="pl-PL"/>
              </w:rPr>
              <w:t>Produktivita kapitálu (založená na produkci)</w:t>
            </w:r>
          </w:p>
        </w:tc>
        <w:tc>
          <w:tcPr>
            <w:tcW w:w="1980" w:type="dxa"/>
          </w:tcPr>
          <w:p w:rsidR="00705069" w:rsidRPr="00E54D02" w:rsidRDefault="00705069" w:rsidP="00E54D02">
            <w:pPr>
              <w:spacing w:line="360" w:lineRule="auto"/>
              <w:jc w:val="center"/>
              <w:rPr>
                <w:lang w:val="pl-PL"/>
              </w:rPr>
            </w:pPr>
            <w:r w:rsidRPr="00E54D02">
              <w:rPr>
                <w:lang w:val="pl-PL"/>
              </w:rPr>
              <w:t>Multifaktorová produktivita  (založená na produkci)</w:t>
            </w:r>
          </w:p>
        </w:tc>
        <w:tc>
          <w:tcPr>
            <w:tcW w:w="1980" w:type="dxa"/>
            <w:tcBorders>
              <w:right w:val="nil"/>
            </w:tcBorders>
          </w:tcPr>
          <w:p w:rsidR="00705069" w:rsidRPr="00E54D02" w:rsidRDefault="00705069" w:rsidP="00E54D02">
            <w:pPr>
              <w:spacing w:line="360" w:lineRule="auto"/>
              <w:jc w:val="center"/>
              <w:rPr>
                <w:lang w:val="en-GB"/>
              </w:rPr>
            </w:pPr>
            <w:r w:rsidRPr="00E54D02">
              <w:rPr>
                <w:lang w:val="en-GB"/>
              </w:rPr>
              <w:t>KLEMS multifaktorová produktivita</w:t>
            </w:r>
          </w:p>
        </w:tc>
      </w:tr>
      <w:tr w:rsidR="00705069" w:rsidRPr="00E54D02" w:rsidTr="006E056B">
        <w:trPr>
          <w:cantSplit/>
        </w:trPr>
        <w:tc>
          <w:tcPr>
            <w:tcW w:w="1548" w:type="dxa"/>
            <w:tcBorders>
              <w:left w:val="nil"/>
            </w:tcBorders>
            <w:shd w:val="clear" w:color="auto" w:fill="auto"/>
          </w:tcPr>
          <w:p w:rsidR="00705069" w:rsidRPr="00E54D02" w:rsidRDefault="00705069" w:rsidP="00E54D02">
            <w:pPr>
              <w:spacing w:before="360" w:line="360" w:lineRule="auto"/>
              <w:jc w:val="center"/>
              <w:rPr>
                <w:lang w:val="en-GB"/>
              </w:rPr>
            </w:pPr>
            <w:r w:rsidRPr="00E54D02">
              <w:rPr>
                <w:lang w:val="en-GB"/>
              </w:rPr>
              <w:t>Přidaná hodnota</w:t>
            </w:r>
          </w:p>
        </w:tc>
        <w:tc>
          <w:tcPr>
            <w:tcW w:w="1980" w:type="dxa"/>
          </w:tcPr>
          <w:p w:rsidR="00705069" w:rsidRPr="00E54D02" w:rsidRDefault="00705069" w:rsidP="00E54D02">
            <w:pPr>
              <w:spacing w:line="360" w:lineRule="auto"/>
              <w:jc w:val="center"/>
              <w:rPr>
                <w:lang w:val="pt-BR"/>
              </w:rPr>
            </w:pPr>
            <w:r w:rsidRPr="00E54D02">
              <w:rPr>
                <w:lang w:val="pt-BR"/>
              </w:rPr>
              <w:t>Produktivita práce (založená na přidané hodnotě)</w:t>
            </w:r>
          </w:p>
        </w:tc>
        <w:tc>
          <w:tcPr>
            <w:tcW w:w="1980" w:type="dxa"/>
          </w:tcPr>
          <w:p w:rsidR="00705069" w:rsidRPr="00E54D02" w:rsidRDefault="00705069" w:rsidP="00E54D02">
            <w:pPr>
              <w:spacing w:line="360" w:lineRule="auto"/>
              <w:jc w:val="center"/>
              <w:rPr>
                <w:lang w:val="pt-BR"/>
              </w:rPr>
            </w:pPr>
            <w:r w:rsidRPr="00E54D02">
              <w:rPr>
                <w:lang w:val="pt-BR"/>
              </w:rPr>
              <w:t>Produktivita kapitálu (založená na přidané hodnotě)</w:t>
            </w:r>
          </w:p>
        </w:tc>
        <w:tc>
          <w:tcPr>
            <w:tcW w:w="1980" w:type="dxa"/>
          </w:tcPr>
          <w:p w:rsidR="00705069" w:rsidRPr="00E54D02" w:rsidRDefault="00705069" w:rsidP="00E54D02">
            <w:pPr>
              <w:spacing w:line="360" w:lineRule="auto"/>
              <w:jc w:val="center"/>
              <w:rPr>
                <w:lang w:val="pt-BR"/>
              </w:rPr>
            </w:pPr>
            <w:r w:rsidRPr="00E54D02">
              <w:rPr>
                <w:lang w:val="pt-BR"/>
              </w:rPr>
              <w:t>Multifaktorová produktivita (založená na přidané hodnotě)</w:t>
            </w:r>
          </w:p>
        </w:tc>
        <w:tc>
          <w:tcPr>
            <w:tcW w:w="1980" w:type="dxa"/>
            <w:tcBorders>
              <w:right w:val="nil"/>
            </w:tcBorders>
          </w:tcPr>
          <w:p w:rsidR="00705069" w:rsidRPr="00E54D02" w:rsidRDefault="00705069" w:rsidP="00E54D02">
            <w:pPr>
              <w:spacing w:line="360" w:lineRule="auto"/>
              <w:jc w:val="center"/>
              <w:rPr>
                <w:lang w:val="pt-BR"/>
              </w:rPr>
            </w:pPr>
          </w:p>
          <w:p w:rsidR="00705069" w:rsidRPr="00E54D02" w:rsidRDefault="00705069" w:rsidP="00E54D02">
            <w:pPr>
              <w:spacing w:line="360" w:lineRule="auto"/>
              <w:jc w:val="center"/>
              <w:rPr>
                <w:lang w:val="en-GB"/>
              </w:rPr>
            </w:pPr>
            <w:r w:rsidRPr="00E54D02">
              <w:rPr>
                <w:lang w:val="en-GB"/>
              </w:rPr>
              <w:t>-</w:t>
            </w:r>
          </w:p>
        </w:tc>
      </w:tr>
      <w:tr w:rsidR="00705069" w:rsidRPr="00E54D02" w:rsidTr="006E056B">
        <w:trPr>
          <w:trHeight w:val="736"/>
        </w:trPr>
        <w:tc>
          <w:tcPr>
            <w:tcW w:w="1548" w:type="dxa"/>
            <w:tcBorders>
              <w:left w:val="nil"/>
            </w:tcBorders>
          </w:tcPr>
          <w:p w:rsidR="00705069" w:rsidRPr="00E54D02" w:rsidRDefault="00705069" w:rsidP="00E54D02">
            <w:pPr>
              <w:spacing w:line="360" w:lineRule="auto"/>
              <w:jc w:val="center"/>
              <w:rPr>
                <w:lang w:val="en-GB"/>
              </w:rPr>
            </w:pPr>
          </w:p>
        </w:tc>
        <w:tc>
          <w:tcPr>
            <w:tcW w:w="3960" w:type="dxa"/>
            <w:gridSpan w:val="2"/>
          </w:tcPr>
          <w:p w:rsidR="00705069" w:rsidRPr="00E54D02" w:rsidRDefault="00705069" w:rsidP="00E54D02">
            <w:pPr>
              <w:spacing w:line="360" w:lineRule="auto"/>
              <w:jc w:val="center"/>
              <w:rPr>
                <w:lang w:val="en-GB"/>
              </w:rPr>
            </w:pPr>
          </w:p>
          <w:p w:rsidR="00705069" w:rsidRPr="00E54D02" w:rsidRDefault="00705069" w:rsidP="00E54D02">
            <w:pPr>
              <w:spacing w:line="360" w:lineRule="auto"/>
              <w:jc w:val="center"/>
              <w:rPr>
                <w:b/>
                <w:lang w:val="en-GB"/>
              </w:rPr>
            </w:pPr>
            <w:r w:rsidRPr="00E54D02">
              <w:rPr>
                <w:b/>
                <w:lang w:val="en-GB"/>
              </w:rPr>
              <w:t>Jednofaktorové miry produktivity</w:t>
            </w:r>
          </w:p>
        </w:tc>
        <w:tc>
          <w:tcPr>
            <w:tcW w:w="3960" w:type="dxa"/>
            <w:gridSpan w:val="2"/>
            <w:tcBorders>
              <w:right w:val="nil"/>
            </w:tcBorders>
          </w:tcPr>
          <w:p w:rsidR="00705069" w:rsidRPr="00E54D02" w:rsidRDefault="00705069" w:rsidP="00E54D02">
            <w:pPr>
              <w:spacing w:line="360" w:lineRule="auto"/>
              <w:jc w:val="center"/>
              <w:rPr>
                <w:lang w:val="en-GB"/>
              </w:rPr>
            </w:pPr>
          </w:p>
          <w:p w:rsidR="00705069" w:rsidRPr="00E54D02" w:rsidRDefault="00705069" w:rsidP="00E54D02">
            <w:pPr>
              <w:spacing w:line="360" w:lineRule="auto"/>
              <w:jc w:val="center"/>
              <w:rPr>
                <w:b/>
                <w:lang w:val="en-GB"/>
              </w:rPr>
            </w:pPr>
            <w:r w:rsidRPr="00E54D02">
              <w:rPr>
                <w:b/>
                <w:lang w:val="en-GB"/>
              </w:rPr>
              <w:t>Multifaktorové miry produktivity</w:t>
            </w:r>
          </w:p>
        </w:tc>
      </w:tr>
    </w:tbl>
    <w:p w:rsidR="00705069" w:rsidRPr="00E54D02" w:rsidRDefault="00705069" w:rsidP="00E54D02">
      <w:pPr>
        <w:spacing w:after="120" w:line="360" w:lineRule="auto"/>
        <w:rPr>
          <w:lang w:val="en-GB"/>
        </w:rPr>
      </w:pPr>
      <w:r w:rsidRPr="00E54D02">
        <w:rPr>
          <w:lang w:val="en-GB"/>
        </w:rPr>
        <w:t>Zdroj: Measuring Productivity. Measurement of aggregate and industrial level productivity growth. OECD Manual. Paris, 2001</w:t>
      </w:r>
    </w:p>
    <w:p w:rsidR="00810755" w:rsidRPr="00E54D02" w:rsidRDefault="00810755" w:rsidP="00E54D02">
      <w:pPr>
        <w:spacing w:line="360" w:lineRule="auto"/>
        <w:jc w:val="both"/>
        <w:rPr>
          <w:color w:val="292C2E"/>
        </w:rPr>
      </w:pPr>
    </w:p>
    <w:p w:rsidR="00E63E90" w:rsidRDefault="00FC20C8" w:rsidP="00E63E90">
      <w:pPr>
        <w:shd w:val="clear" w:color="auto" w:fill="FFFFFF"/>
        <w:spacing w:after="360" w:line="360" w:lineRule="auto"/>
        <w:jc w:val="both"/>
        <w:rPr>
          <w:color w:val="333333"/>
          <w:lang w:val="en-GB" w:eastAsia="en-GB"/>
        </w:rPr>
      </w:pPr>
      <w:r>
        <w:rPr>
          <w:color w:val="292C2E"/>
        </w:rPr>
        <w:t>Můžeme zde vidět, že produktivity zde dělíme na jednofaktorové (produktivitu práce a kapitálu) a mulftifaktorovou produktivitu tzn. TFP (total factor productivity)</w:t>
      </w:r>
      <w:r w:rsidR="00E63E90">
        <w:rPr>
          <w:color w:val="292C2E"/>
        </w:rPr>
        <w:t xml:space="preserve">. </w:t>
      </w:r>
      <w:r w:rsidR="00E63E90" w:rsidRPr="00F3549C">
        <w:rPr>
          <w:color w:val="333333"/>
          <w:lang w:val="en-GB" w:eastAsia="en-GB"/>
        </w:rPr>
        <w:t>Jedno</w:t>
      </w:r>
      <w:r w:rsidR="00E63E90">
        <w:rPr>
          <w:color w:val="333333"/>
          <w:lang w:val="en-GB" w:eastAsia="en-GB"/>
        </w:rPr>
        <w:t>faktorové</w:t>
      </w:r>
      <w:r w:rsidR="00E63E90" w:rsidRPr="00F3549C">
        <w:rPr>
          <w:color w:val="333333"/>
          <w:lang w:val="en-GB" w:eastAsia="en-GB"/>
        </w:rPr>
        <w:t xml:space="preserve"> produktivity odrážejí jednotky výstupu vyrobené </w:t>
      </w:r>
      <w:proofErr w:type="gramStart"/>
      <w:r w:rsidR="00E63E90" w:rsidRPr="00F3549C">
        <w:rPr>
          <w:color w:val="333333"/>
          <w:lang w:val="en-GB" w:eastAsia="en-GB"/>
        </w:rPr>
        <w:t>na</w:t>
      </w:r>
      <w:proofErr w:type="gramEnd"/>
      <w:r w:rsidR="00E63E90" w:rsidRPr="00F3549C">
        <w:rPr>
          <w:color w:val="333333"/>
          <w:lang w:val="en-GB" w:eastAsia="en-GB"/>
        </w:rPr>
        <w:t xml:space="preserve"> jednotku konkrétního vstupu. </w:t>
      </w:r>
      <w:r w:rsidR="00E63E90">
        <w:rPr>
          <w:color w:val="333333"/>
          <w:lang w:val="en-GB" w:eastAsia="en-GB"/>
        </w:rPr>
        <w:t xml:space="preserve"> P</w:t>
      </w:r>
      <w:r w:rsidR="00E63E90" w:rsidRPr="00F3549C">
        <w:rPr>
          <w:color w:val="333333"/>
          <w:lang w:val="en-GB" w:eastAsia="en-GB"/>
        </w:rPr>
        <w:t xml:space="preserve">roduktivita práce je nejběžnějším </w:t>
      </w:r>
      <w:r w:rsidR="00E63E90">
        <w:rPr>
          <w:color w:val="333333"/>
          <w:lang w:val="en-GB" w:eastAsia="en-GB"/>
        </w:rPr>
        <w:t>typem jednofaktorové prouduktivity</w:t>
      </w:r>
      <w:r w:rsidR="00E63E90" w:rsidRPr="00F3549C">
        <w:rPr>
          <w:color w:val="333333"/>
          <w:lang w:val="en-GB" w:eastAsia="en-GB"/>
        </w:rPr>
        <w:t xml:space="preserve">, i </w:t>
      </w:r>
      <w:r w:rsidR="00E63E90">
        <w:rPr>
          <w:color w:val="333333"/>
          <w:lang w:val="en-GB" w:eastAsia="en-GB"/>
        </w:rPr>
        <w:t xml:space="preserve">když se občas </w:t>
      </w:r>
      <w:proofErr w:type="gramStart"/>
      <w:r w:rsidR="00E63E90">
        <w:rPr>
          <w:color w:val="333333"/>
          <w:lang w:val="en-GB" w:eastAsia="en-GB"/>
        </w:rPr>
        <w:t>používá  produktivita</w:t>
      </w:r>
      <w:proofErr w:type="gramEnd"/>
      <w:r w:rsidR="00E63E90" w:rsidRPr="00F3549C">
        <w:rPr>
          <w:color w:val="333333"/>
          <w:lang w:val="en-GB" w:eastAsia="en-GB"/>
        </w:rPr>
        <w:t xml:space="preserve"> kapitálu nebo dokonce</w:t>
      </w:r>
      <w:r w:rsidR="00E63E90">
        <w:rPr>
          <w:color w:val="333333"/>
          <w:lang w:val="en-GB" w:eastAsia="en-GB"/>
        </w:rPr>
        <w:t xml:space="preserve"> produktvitita </w:t>
      </w:r>
      <w:r w:rsidR="00E63E90" w:rsidRPr="00F3549C">
        <w:rPr>
          <w:color w:val="333333"/>
          <w:lang w:val="en-GB" w:eastAsia="en-GB"/>
        </w:rPr>
        <w:t xml:space="preserve"> materiálů. Úrovně jednofaktorové produktivity jsou samozřejmě ovlivněny intenzitou využití vyloučených vstupů. Dva producenti se mohou lišit</w:t>
      </w:r>
      <w:r w:rsidR="00E63E90">
        <w:rPr>
          <w:color w:val="333333"/>
          <w:lang w:val="en-GB" w:eastAsia="en-GB"/>
        </w:rPr>
        <w:t xml:space="preserve"> </w:t>
      </w:r>
      <w:r w:rsidR="00E63E90" w:rsidRPr="00F3549C">
        <w:rPr>
          <w:color w:val="333333"/>
          <w:lang w:val="en-GB" w:eastAsia="en-GB"/>
        </w:rPr>
        <w:t>úrovně produktivity práce, i když mají stejnou výrobní technologii, pokud někdo náhodou použije kapitál mnohem intenzivněji</w:t>
      </w:r>
      <w:r w:rsidR="00E63E90">
        <w:rPr>
          <w:color w:val="333333"/>
          <w:lang w:val="en-GB" w:eastAsia="en-GB"/>
        </w:rPr>
        <w:t xml:space="preserve"> (</w:t>
      </w:r>
      <w:r w:rsidR="00E63E90" w:rsidRPr="00E54D02">
        <w:rPr>
          <w:color w:val="333333"/>
          <w:lang w:val="en-GB" w:eastAsia="en-GB"/>
        </w:rPr>
        <w:t>Syverson, 2011).</w:t>
      </w:r>
      <w:r w:rsidR="00E9706E">
        <w:rPr>
          <w:color w:val="333333"/>
          <w:lang w:val="en-GB" w:eastAsia="en-GB"/>
        </w:rPr>
        <w:t xml:space="preserve"> </w:t>
      </w:r>
      <w:r w:rsidR="00E9706E">
        <w:t xml:space="preserve">Multifaktorová </w:t>
      </w:r>
      <w:r w:rsidR="00E9706E">
        <w:lastRenderedPageBreak/>
        <w:t>produktivita ukazuje, jak jsou produktivně kombinovány vstupy využívané k tvorbě hrubého výstupu</w:t>
      </w:r>
      <w:r w:rsidR="00E9706E">
        <w:t>.</w:t>
      </w:r>
    </w:p>
    <w:p w:rsidR="00810755" w:rsidRDefault="00FC20C8" w:rsidP="00E54D02">
      <w:pPr>
        <w:spacing w:line="360" w:lineRule="auto"/>
        <w:jc w:val="both"/>
        <w:rPr>
          <w:color w:val="292C2E"/>
        </w:rPr>
      </w:pPr>
      <w:r>
        <w:rPr>
          <w:color w:val="292C2E"/>
        </w:rPr>
        <w:t xml:space="preserve"> </w:t>
      </w:r>
    </w:p>
    <w:p w:rsidR="00FC20C8" w:rsidRDefault="00FC20C8" w:rsidP="00E54D02">
      <w:pPr>
        <w:spacing w:line="360" w:lineRule="auto"/>
        <w:jc w:val="both"/>
        <w:rPr>
          <w:color w:val="292C2E"/>
        </w:rPr>
      </w:pPr>
    </w:p>
    <w:p w:rsidR="00FC20C8" w:rsidRPr="00E54D02" w:rsidRDefault="00FC20C8" w:rsidP="00E54D02">
      <w:pPr>
        <w:spacing w:line="360" w:lineRule="auto"/>
        <w:jc w:val="both"/>
        <w:rPr>
          <w:color w:val="292C2E"/>
        </w:rPr>
      </w:pPr>
    </w:p>
    <w:p w:rsidR="004861C6" w:rsidRPr="00E54D02" w:rsidRDefault="00F76ABF" w:rsidP="00E54D02">
      <w:pPr>
        <w:spacing w:line="360" w:lineRule="auto"/>
        <w:jc w:val="both"/>
        <w:rPr>
          <w:b/>
          <w:color w:val="292C2E"/>
        </w:rPr>
      </w:pPr>
      <w:r w:rsidRPr="00E54D02">
        <w:rPr>
          <w:b/>
          <w:color w:val="292C2E"/>
        </w:rPr>
        <w:t>Produktivita práce</w:t>
      </w:r>
      <w:r w:rsidR="00A0265C" w:rsidRPr="00E54D02">
        <w:rPr>
          <w:b/>
          <w:color w:val="292C2E"/>
        </w:rPr>
        <w:t xml:space="preserve"> (LP)</w:t>
      </w:r>
    </w:p>
    <w:p w:rsidR="00F76ABF" w:rsidRPr="00E54D02" w:rsidRDefault="00F76ABF" w:rsidP="00E54D02">
      <w:pPr>
        <w:spacing w:line="360" w:lineRule="auto"/>
        <w:jc w:val="both"/>
        <w:rPr>
          <w:color w:val="292C2E"/>
        </w:rPr>
      </w:pPr>
    </w:p>
    <w:p w:rsidR="00867305" w:rsidRPr="00E54D02" w:rsidRDefault="00810755" w:rsidP="00E54D02">
      <w:pPr>
        <w:shd w:val="clear" w:color="auto" w:fill="FFFFFF"/>
        <w:spacing w:after="360" w:line="360" w:lineRule="auto"/>
        <w:jc w:val="both"/>
        <w:rPr>
          <w:color w:val="333333"/>
          <w:lang w:val="en-GB" w:eastAsia="en-GB"/>
        </w:rPr>
      </w:pPr>
      <w:r w:rsidRPr="00E54D02">
        <w:rPr>
          <w:color w:val="333333"/>
          <w:lang w:val="en-GB" w:eastAsia="en-GB"/>
        </w:rPr>
        <w:t xml:space="preserve">Produktivita práce je nejčastější a nejvíce využívaným ukazatelem produktivity. </w:t>
      </w:r>
      <w:r w:rsidR="00393A13" w:rsidRPr="00E54D02">
        <w:rPr>
          <w:color w:val="333333"/>
          <w:lang w:val="en-GB" w:eastAsia="en-GB"/>
        </w:rPr>
        <w:t xml:space="preserve">Produktivitu práce lze měřit v podniku, </w:t>
      </w:r>
      <w:proofErr w:type="gramStart"/>
      <w:r w:rsidR="00393A13" w:rsidRPr="00E54D02">
        <w:rPr>
          <w:color w:val="333333"/>
          <w:lang w:val="en-GB" w:eastAsia="en-GB"/>
        </w:rPr>
        <w:t>na</w:t>
      </w:r>
      <w:proofErr w:type="gramEnd"/>
      <w:r w:rsidR="00393A13" w:rsidRPr="00E54D02">
        <w:rPr>
          <w:color w:val="333333"/>
          <w:lang w:val="en-GB" w:eastAsia="en-GB"/>
        </w:rPr>
        <w:t xml:space="preserve"> odvětvové, regionální nebo celostátní úrovni. </w:t>
      </w:r>
      <w:r w:rsidRPr="00E54D02">
        <w:rPr>
          <w:color w:val="333333"/>
          <w:lang w:val="en-GB" w:eastAsia="en-GB"/>
        </w:rPr>
        <w:t xml:space="preserve">Tento ukazatel měří, jak efektivně je využívána </w:t>
      </w:r>
      <w:proofErr w:type="gramStart"/>
      <w:r w:rsidRPr="00E54D02">
        <w:rPr>
          <w:color w:val="333333"/>
          <w:lang w:val="en-GB" w:eastAsia="en-GB"/>
        </w:rPr>
        <w:t>práce  vzhledem</w:t>
      </w:r>
      <w:proofErr w:type="gramEnd"/>
      <w:r w:rsidRPr="00E54D02">
        <w:rPr>
          <w:color w:val="333333"/>
          <w:lang w:val="en-GB" w:eastAsia="en-GB"/>
        </w:rPr>
        <w:t xml:space="preserve"> k technologické a kapitálové vybavenosti.  Produktivita práce hraje významnou roli v ekonomickém růstu </w:t>
      </w:r>
      <w:proofErr w:type="gramStart"/>
      <w:r w:rsidRPr="00E54D02">
        <w:rPr>
          <w:color w:val="333333"/>
          <w:lang w:val="en-GB" w:eastAsia="en-GB"/>
        </w:rPr>
        <w:t>a</w:t>
      </w:r>
      <w:proofErr w:type="gramEnd"/>
      <w:r w:rsidRPr="00E54D02">
        <w:rPr>
          <w:color w:val="333333"/>
          <w:lang w:val="en-GB" w:eastAsia="en-GB"/>
        </w:rPr>
        <w:t xml:space="preserve"> oblasti zaměstnanosti v dané ekonomice (Bhattacharya, Narayan, 2010) nebo odvětví.  Růst produktivity práce může být způsobeno technologickým prokrokem či růstem vybavenosti kapitálem (Guest, 2011), kdy v obou zdrojích růstu je nutné počíta s časovým zpožděním efektů ze závádění nových technoligí či nového technického vybavení.</w:t>
      </w:r>
      <w:r w:rsidR="00867305" w:rsidRPr="00E54D02">
        <w:rPr>
          <w:color w:val="333333"/>
          <w:lang w:val="en-GB" w:eastAsia="en-GB"/>
        </w:rPr>
        <w:t xml:space="preserve"> Zakladní vymezení výpočtu produktivity práce je to tedy vztah mezi hodnotou vyprodukované produkce (výstupem) a hodnotou pracovního vstupu využitého k její produkci (vstup).</w:t>
      </w:r>
    </w:p>
    <w:p w:rsidR="006C7B2D" w:rsidRPr="00E54D02" w:rsidRDefault="00867305" w:rsidP="00E54D02">
      <w:pPr>
        <w:shd w:val="clear" w:color="auto" w:fill="FFFFFF"/>
        <w:spacing w:after="360" w:line="360" w:lineRule="auto"/>
        <w:jc w:val="both"/>
        <w:rPr>
          <w:color w:val="333333"/>
          <w:lang w:val="en-GB" w:eastAsia="en-GB"/>
        </w:rPr>
      </w:pPr>
      <w:r w:rsidRPr="00E54D02">
        <w:rPr>
          <w:color w:val="333333"/>
          <w:lang w:val="en-GB" w:eastAsia="en-GB"/>
        </w:rPr>
        <w:t xml:space="preserve">Produktivita práce </w:t>
      </w:r>
      <w:r w:rsidR="006C7B2D" w:rsidRPr="00E54D02">
        <w:rPr>
          <w:color w:val="333333"/>
          <w:lang w:val="en-GB" w:eastAsia="en-GB"/>
        </w:rPr>
        <w:t xml:space="preserve">  =   </w:t>
      </w:r>
      <m:oMath>
        <m:r>
          <w:rPr>
            <w:rFonts w:ascii="Cambria Math" w:hAnsi="Cambria Math"/>
            <w:color w:val="333333"/>
            <w:lang w:val="en-GB" w:eastAsia="en-GB"/>
          </w:rPr>
          <m:t xml:space="preserve"> </m:t>
        </m:r>
        <m:f>
          <m:fPr>
            <m:ctrlPr>
              <w:rPr>
                <w:rFonts w:ascii="Cambria Math" w:hAnsi="Cambria Math"/>
                <w:i/>
              </w:rPr>
            </m:ctrlPr>
          </m:fPr>
          <m:num>
            <m:r>
              <w:rPr>
                <w:rFonts w:ascii="Cambria Math" w:hAnsi="Cambria Math"/>
              </w:rPr>
              <m:t>hodnota produkce (Y nebo Q)</m:t>
            </m:r>
          </m:num>
          <m:den>
            <m:r>
              <w:rPr>
                <w:rFonts w:ascii="Cambria Math" w:hAnsi="Cambria Math"/>
              </w:rPr>
              <m:t>spotřeba práce (L)</m:t>
            </m:r>
          </m:den>
        </m:f>
      </m:oMath>
      <w:r w:rsidRPr="00E54D02">
        <w:rPr>
          <w:color w:val="333333"/>
          <w:lang w:val="en-GB" w:eastAsia="en-GB"/>
        </w:rPr>
        <w:t xml:space="preserve">  </w:t>
      </w:r>
      <w:r w:rsidR="006C7B2D" w:rsidRPr="00E54D02">
        <w:rPr>
          <w:color w:val="333333"/>
          <w:lang w:val="en-GB" w:eastAsia="en-GB"/>
        </w:rPr>
        <w:t xml:space="preserve"> </w:t>
      </w:r>
    </w:p>
    <w:p w:rsidR="006C7B2D" w:rsidRPr="00E54D02" w:rsidRDefault="006C7B2D" w:rsidP="00E54D02">
      <w:pPr>
        <w:shd w:val="clear" w:color="auto" w:fill="FFFFFF"/>
        <w:spacing w:after="360" w:line="360" w:lineRule="auto"/>
        <w:jc w:val="both"/>
        <w:rPr>
          <w:color w:val="333333"/>
          <w:lang w:val="en-GB" w:eastAsia="en-GB"/>
        </w:rPr>
      </w:pPr>
      <w:proofErr w:type="gramStart"/>
      <w:r w:rsidRPr="00E54D02">
        <w:rPr>
          <w:color w:val="333333"/>
          <w:lang w:val="en-GB" w:eastAsia="en-GB"/>
        </w:rPr>
        <w:t>je</w:t>
      </w:r>
      <w:proofErr w:type="gramEnd"/>
      <w:r w:rsidRPr="00E54D02">
        <w:rPr>
          <w:color w:val="333333"/>
          <w:lang w:val="en-GB" w:eastAsia="en-GB"/>
        </w:rPr>
        <w:t xml:space="preserve"> možné využít i formu indexu:</w:t>
      </w:r>
    </w:p>
    <w:p w:rsidR="006C7B2D" w:rsidRPr="00E54D02" w:rsidRDefault="006C7B2D" w:rsidP="00E54D02">
      <w:pPr>
        <w:shd w:val="clear" w:color="auto" w:fill="FFFFFF"/>
        <w:spacing w:after="360" w:line="360" w:lineRule="auto"/>
        <w:jc w:val="both"/>
        <w:rPr>
          <w:color w:val="333333"/>
          <w:lang w:val="en-GB" w:eastAsia="en-GB"/>
        </w:rPr>
      </w:pPr>
      <w:r w:rsidRPr="00E54D02">
        <w:rPr>
          <w:color w:val="333333"/>
          <w:lang w:val="en-GB" w:eastAsia="en-GB"/>
        </w:rPr>
        <w:t xml:space="preserve">Produktivita práce   =   </w:t>
      </w:r>
      <m:oMath>
        <m:f>
          <m:fPr>
            <m:ctrlPr>
              <w:rPr>
                <w:rFonts w:ascii="Cambria Math" w:hAnsi="Cambria Math"/>
                <w:i/>
              </w:rPr>
            </m:ctrlPr>
          </m:fPr>
          <m:num>
            <m:r>
              <w:rPr>
                <w:rFonts w:ascii="Cambria Math" w:hAnsi="Cambria Math"/>
              </w:rPr>
              <m:t xml:space="preserve">index produkce </m:t>
            </m:r>
          </m:num>
          <m:den>
            <m:r>
              <w:rPr>
                <w:rFonts w:ascii="Cambria Math" w:hAnsi="Cambria Math"/>
              </w:rPr>
              <m:t>index spotřeby práce</m:t>
            </m:r>
          </m:den>
        </m:f>
      </m:oMath>
      <w:r w:rsidRPr="00E54D02">
        <w:rPr>
          <w:color w:val="333333"/>
          <w:lang w:val="en-GB" w:eastAsia="en-GB"/>
        </w:rPr>
        <w:t xml:space="preserve">  </w:t>
      </w:r>
    </w:p>
    <w:p w:rsidR="006C7B2D" w:rsidRPr="00E54D02" w:rsidRDefault="006C7B2D" w:rsidP="00E54D02">
      <w:pPr>
        <w:spacing w:line="360" w:lineRule="auto"/>
      </w:pPr>
      <w:r w:rsidRPr="00E54D02">
        <w:t>Výhodou využití indexů  je jeho jednoduchost a čitelnost avšak nezohledňuje vliv ostatních faktorů např. technologických změn (Novotná &amp; Volek, 2008).</w:t>
      </w:r>
    </w:p>
    <w:p w:rsidR="00AB3F83" w:rsidRPr="00E54D02" w:rsidRDefault="00867305" w:rsidP="00E54D02">
      <w:pPr>
        <w:shd w:val="clear" w:color="auto" w:fill="FFFFFF"/>
        <w:spacing w:after="360" w:line="360" w:lineRule="auto"/>
        <w:jc w:val="both"/>
        <w:rPr>
          <w:color w:val="333333"/>
          <w:lang w:val="en-GB" w:eastAsia="en-GB"/>
        </w:rPr>
      </w:pPr>
      <w:r w:rsidRPr="00E54D02">
        <w:rPr>
          <w:color w:val="333333"/>
          <w:lang w:val="en-GB" w:eastAsia="en-GB"/>
        </w:rPr>
        <w:t xml:space="preserve"> </w:t>
      </w:r>
    </w:p>
    <w:p w:rsidR="0007697B" w:rsidRPr="00E54D02" w:rsidRDefault="00810755" w:rsidP="00E54D02">
      <w:pPr>
        <w:shd w:val="clear" w:color="auto" w:fill="FFFFFF"/>
        <w:spacing w:after="360" w:line="360" w:lineRule="auto"/>
        <w:jc w:val="both"/>
        <w:rPr>
          <w:color w:val="333333"/>
          <w:lang w:val="en-GB" w:eastAsia="en-GB"/>
        </w:rPr>
      </w:pPr>
      <w:r w:rsidRPr="00E54D02">
        <w:rPr>
          <w:color w:val="333333"/>
          <w:lang w:val="en-GB" w:eastAsia="en-GB"/>
        </w:rPr>
        <w:t xml:space="preserve">Konstrukce ukazatele produktivity práce závisí </w:t>
      </w:r>
      <w:proofErr w:type="gramStart"/>
      <w:r w:rsidRPr="00E54D02">
        <w:rPr>
          <w:color w:val="333333"/>
          <w:lang w:val="en-GB" w:eastAsia="en-GB"/>
        </w:rPr>
        <w:t>na</w:t>
      </w:r>
      <w:proofErr w:type="gramEnd"/>
      <w:r w:rsidRPr="00E54D02">
        <w:rPr>
          <w:color w:val="333333"/>
          <w:lang w:val="en-GB" w:eastAsia="en-GB"/>
        </w:rPr>
        <w:t xml:space="preserve"> to, zda se hodnotí podnikového i makroekonomického hlediska.</w:t>
      </w:r>
      <w:r w:rsidR="00867305" w:rsidRPr="00E54D02">
        <w:rPr>
          <w:color w:val="333333"/>
          <w:lang w:val="en-GB" w:eastAsia="en-GB"/>
        </w:rPr>
        <w:t xml:space="preserve"> </w:t>
      </w:r>
      <w:r w:rsidR="006C7B2D" w:rsidRPr="00E54D02">
        <w:rPr>
          <w:color w:val="333333"/>
          <w:lang w:val="en-GB" w:eastAsia="en-GB"/>
        </w:rPr>
        <w:t xml:space="preserve"> Produktivitu můžeme měřit ve formě absoutní hodnoty vyjadřují množští produkce připadající </w:t>
      </w:r>
      <w:proofErr w:type="gramStart"/>
      <w:r w:rsidR="006C7B2D" w:rsidRPr="00E54D02">
        <w:rPr>
          <w:color w:val="333333"/>
          <w:lang w:val="en-GB" w:eastAsia="en-GB"/>
        </w:rPr>
        <w:t>na</w:t>
      </w:r>
      <w:proofErr w:type="gramEnd"/>
      <w:r w:rsidR="006C7B2D" w:rsidRPr="00E54D02">
        <w:rPr>
          <w:color w:val="333333"/>
          <w:lang w:val="en-GB" w:eastAsia="en-GB"/>
        </w:rPr>
        <w:t xml:space="preserve"> jednotku práce nebo ve formě tempa růstu vyjadřující dinamiku růstu oproti předchozímu období. </w:t>
      </w:r>
    </w:p>
    <w:p w:rsidR="00F76ABF" w:rsidRPr="00E54D02" w:rsidRDefault="00867305" w:rsidP="00E54D02">
      <w:pPr>
        <w:shd w:val="clear" w:color="auto" w:fill="FFFFFF"/>
        <w:spacing w:after="360" w:line="360" w:lineRule="auto"/>
        <w:jc w:val="both"/>
        <w:rPr>
          <w:color w:val="333333"/>
          <w:lang w:val="en-GB" w:eastAsia="en-GB"/>
        </w:rPr>
      </w:pPr>
      <w:r w:rsidRPr="00E54D02">
        <w:rPr>
          <w:color w:val="333333"/>
          <w:lang w:val="en-GB" w:eastAsia="en-GB"/>
        </w:rPr>
        <w:lastRenderedPageBreak/>
        <w:t xml:space="preserve">Z makroekonomického </w:t>
      </w:r>
      <w:r w:rsidR="00196DBC" w:rsidRPr="00E54D02">
        <w:rPr>
          <w:color w:val="333333"/>
          <w:lang w:val="en-GB" w:eastAsia="en-GB"/>
        </w:rPr>
        <w:t>pohledu se objem produkce měří buď hrubým domácím produktem (HDP) nebo přidanou hodnotou (HPH)</w:t>
      </w:r>
      <w:r w:rsidR="00393A13" w:rsidRPr="00E54D02">
        <w:rPr>
          <w:color w:val="333333"/>
          <w:lang w:val="en-GB" w:eastAsia="en-GB"/>
        </w:rPr>
        <w:t xml:space="preserve"> </w:t>
      </w:r>
      <w:r w:rsidR="00AB3F83" w:rsidRPr="00E54D02">
        <w:t>(Broersma&amp;Oosterhaven, 2009)</w:t>
      </w:r>
      <w:r w:rsidR="00196DBC" w:rsidRPr="00E54D02">
        <w:rPr>
          <w:color w:val="333333"/>
          <w:lang w:val="en-GB" w:eastAsia="en-GB"/>
        </w:rPr>
        <w:t xml:space="preserve">, která se využívá především pro odvětvové srování. Spotřeba lidské práce se vyjadřuje v počtu odpracovaných </w:t>
      </w:r>
      <w:proofErr w:type="gramStart"/>
      <w:r w:rsidR="00196DBC" w:rsidRPr="00E54D02">
        <w:rPr>
          <w:color w:val="333333"/>
          <w:lang w:val="en-GB" w:eastAsia="en-GB"/>
        </w:rPr>
        <w:t>hodin  nebo</w:t>
      </w:r>
      <w:proofErr w:type="gramEnd"/>
      <w:r w:rsidR="00196DBC" w:rsidRPr="00E54D02">
        <w:rPr>
          <w:color w:val="333333"/>
          <w:lang w:val="en-GB" w:eastAsia="en-GB"/>
        </w:rPr>
        <w:t xml:space="preserve"> v početu zaměstnanných osob. </w:t>
      </w:r>
      <w:r w:rsidR="003671A8" w:rsidRPr="00E54D02">
        <w:rPr>
          <w:color w:val="333333"/>
          <w:lang w:val="en-GB" w:eastAsia="en-GB"/>
        </w:rPr>
        <w:t xml:space="preserve">Počet zaměstnaných osob (tj. celková zaměstnanost) se však často používá jako ukazatel práce. </w:t>
      </w:r>
      <w:r w:rsidR="0007697B" w:rsidRPr="00E54D02">
        <w:rPr>
          <w:color w:val="333333"/>
          <w:lang w:val="en-GB" w:eastAsia="en-GB"/>
        </w:rPr>
        <w:t>Zejména</w:t>
      </w:r>
      <w:r w:rsidR="003671A8" w:rsidRPr="00E54D02">
        <w:rPr>
          <w:color w:val="333333"/>
          <w:lang w:val="en-GB" w:eastAsia="en-GB"/>
        </w:rPr>
        <w:t xml:space="preserve"> v případech, kdy nelze odhadnout údaje o celkovém počtu odpracovaných hodin</w:t>
      </w:r>
      <w:r w:rsidR="004C5CFF" w:rsidRPr="00E54D02">
        <w:rPr>
          <w:color w:val="333333"/>
          <w:lang w:val="en-GB" w:eastAsia="en-GB"/>
        </w:rPr>
        <w:t xml:space="preserve"> (OECD 2019)</w:t>
      </w:r>
      <w:r w:rsidR="003671A8" w:rsidRPr="00E54D02">
        <w:rPr>
          <w:color w:val="333333"/>
          <w:lang w:val="en-GB" w:eastAsia="en-GB"/>
        </w:rPr>
        <w:t>.</w:t>
      </w:r>
      <w:r w:rsidR="004C5CFF" w:rsidRPr="00E54D02">
        <w:rPr>
          <w:color w:val="333333"/>
          <w:lang w:val="en-GB" w:eastAsia="en-GB"/>
        </w:rPr>
        <w:t xml:space="preserve"> </w:t>
      </w:r>
      <w:proofErr w:type="gramStart"/>
      <w:r w:rsidR="004C5CFF" w:rsidRPr="00E54D02">
        <w:rPr>
          <w:color w:val="333333"/>
          <w:lang w:val="en-GB" w:eastAsia="en-GB"/>
        </w:rPr>
        <w:t>Mezinárodní  a</w:t>
      </w:r>
      <w:proofErr w:type="gramEnd"/>
      <w:r w:rsidR="004C5CFF" w:rsidRPr="00E54D02">
        <w:rPr>
          <w:color w:val="333333"/>
          <w:lang w:val="en-GB" w:eastAsia="en-GB"/>
        </w:rPr>
        <w:t xml:space="preserve"> mezi časové  srovnání produktivity práce se mohou lišit v závislosti na v závislosti na použitých ukazatelích vstupu práce. Při využití počtu zaměstnaných osob může být tento ukazatel být zkreslen vyšším výskytem částečných úvazků či nižším počtem zákonem stanovených pracovních hodin. Uvedené situace </w:t>
      </w:r>
      <w:proofErr w:type="gramStart"/>
      <w:r w:rsidR="004C5CFF" w:rsidRPr="00E54D02">
        <w:rPr>
          <w:color w:val="333333"/>
          <w:lang w:val="en-GB" w:eastAsia="en-GB"/>
        </w:rPr>
        <w:t>by  tedy</w:t>
      </w:r>
      <w:proofErr w:type="gramEnd"/>
      <w:r w:rsidR="004C5CFF" w:rsidRPr="00E54D02">
        <w:rPr>
          <w:color w:val="333333"/>
          <w:lang w:val="en-GB" w:eastAsia="en-GB"/>
        </w:rPr>
        <w:t xml:space="preserve"> měli negativní vliv  při mezinárodním srovnání na státy u kterých se to objevuje a to zejména na některé státy západní Evropy. Naopak u států z východní Evropy byl tento vliv pozitivní při mezinárodním srovnání.</w:t>
      </w:r>
      <w:r w:rsidR="0007697B" w:rsidRPr="00E54D02">
        <w:rPr>
          <w:color w:val="333333"/>
          <w:lang w:val="en-GB" w:eastAsia="en-GB"/>
        </w:rPr>
        <w:t xml:space="preserve"> </w:t>
      </w:r>
    </w:p>
    <w:p w:rsidR="00F76ABF" w:rsidRPr="00E54D02" w:rsidRDefault="0007697B" w:rsidP="00E54D02">
      <w:pPr>
        <w:shd w:val="clear" w:color="auto" w:fill="FFFFFF"/>
        <w:spacing w:after="360" w:line="360" w:lineRule="auto"/>
        <w:jc w:val="both"/>
        <w:rPr>
          <w:color w:val="333333"/>
          <w:lang w:val="en-GB" w:eastAsia="en-GB"/>
        </w:rPr>
      </w:pPr>
      <w:r w:rsidRPr="00E54D02">
        <w:rPr>
          <w:color w:val="333333"/>
          <w:lang w:val="en-GB" w:eastAsia="en-GB"/>
        </w:rPr>
        <w:t xml:space="preserve">Z podnikového hlediska se objem produkce měří velikostí celkových tržeb, výkonnů či přidanné hodnoty. Pro vyjádření spotřeby lidské práce se využívá velikost osobních nákladů, velikost mezd nebo počet zaměstnanných osob.  </w:t>
      </w:r>
    </w:p>
    <w:p w:rsidR="0047639F" w:rsidRPr="00E54D02" w:rsidRDefault="0007697B" w:rsidP="00E54D02">
      <w:pPr>
        <w:shd w:val="clear" w:color="auto" w:fill="FFFFFF"/>
        <w:spacing w:after="360" w:line="360" w:lineRule="auto"/>
        <w:jc w:val="both"/>
        <w:rPr>
          <w:color w:val="333333"/>
          <w:lang w:val="en-GB" w:eastAsia="en-GB"/>
        </w:rPr>
      </w:pPr>
      <w:r w:rsidRPr="00E54D02">
        <w:rPr>
          <w:color w:val="333333"/>
          <w:lang w:val="en-GB" w:eastAsia="en-GB"/>
        </w:rPr>
        <w:t xml:space="preserve">Produktivitu práce jemožné měřit absolutně či ve formě indexu.  </w:t>
      </w:r>
      <w:r w:rsidR="0047639F" w:rsidRPr="00E54D02">
        <w:rPr>
          <w:color w:val="333333"/>
          <w:lang w:val="en-GB" w:eastAsia="en-GB"/>
        </w:rPr>
        <w:t xml:space="preserve">Měření a vysvětlení změny produktivity jsou jako dvě strany jedné mince.  Vysvětlení změny </w:t>
      </w:r>
      <w:proofErr w:type="gramStart"/>
      <w:r w:rsidR="0047639F" w:rsidRPr="00E54D02">
        <w:rPr>
          <w:color w:val="333333"/>
          <w:lang w:val="en-GB" w:eastAsia="en-GB"/>
        </w:rPr>
        <w:t xml:space="preserve">produktivity </w:t>
      </w:r>
      <w:r w:rsidRPr="00E54D02">
        <w:rPr>
          <w:color w:val="333333"/>
          <w:lang w:val="en-GB" w:eastAsia="en-GB"/>
        </w:rPr>
        <w:t xml:space="preserve"> práce</w:t>
      </w:r>
      <w:proofErr w:type="gramEnd"/>
      <w:r w:rsidRPr="00E54D02">
        <w:rPr>
          <w:color w:val="333333"/>
          <w:lang w:val="en-GB" w:eastAsia="en-GB"/>
        </w:rPr>
        <w:t xml:space="preserve"> </w:t>
      </w:r>
      <w:r w:rsidR="0047639F" w:rsidRPr="00E54D02">
        <w:rPr>
          <w:color w:val="333333"/>
          <w:lang w:val="en-GB" w:eastAsia="en-GB"/>
        </w:rPr>
        <w:t xml:space="preserve">je značně usnadněno, pokud jsme schopni rozložit jakoukoli její míru na smysluplné, nejlépe nezávislé </w:t>
      </w:r>
      <w:r w:rsidRPr="00E54D02">
        <w:rPr>
          <w:color w:val="333333"/>
          <w:lang w:val="en-GB" w:eastAsia="en-GB"/>
        </w:rPr>
        <w:t>fak</w:t>
      </w:r>
      <w:r w:rsidR="00D32815" w:rsidRPr="00E54D02">
        <w:rPr>
          <w:color w:val="333333"/>
          <w:lang w:val="en-GB" w:eastAsia="en-GB"/>
        </w:rPr>
        <w:t>tory (Balk, 2001)</w:t>
      </w:r>
      <w:r w:rsidR="0047639F" w:rsidRPr="00E54D02">
        <w:rPr>
          <w:color w:val="333333"/>
          <w:lang w:val="en-GB" w:eastAsia="en-GB"/>
        </w:rPr>
        <w:t xml:space="preserve">. </w:t>
      </w:r>
    </w:p>
    <w:p w:rsidR="00AB3F83" w:rsidRPr="00E54D02" w:rsidRDefault="00AB3F83" w:rsidP="00E54D02">
      <w:pPr>
        <w:shd w:val="clear" w:color="auto" w:fill="FFFFFF"/>
        <w:spacing w:after="360" w:line="360" w:lineRule="auto"/>
        <w:jc w:val="both"/>
      </w:pPr>
      <w:r w:rsidRPr="00E54D02">
        <w:t xml:space="preserve">Produktivita práce je ovlivněna mnoha šoky. Dle Travagliny (2012) existují dva typy strukturálních šoků: (1) technologické šoky, tj. změny v technologickém pokroku, které ovlivňují produktivitu práce v dlouhodobém horizontu. Do této třídy šoků lze snadno zařadit větší využívání počítačových systémů řízení jednotek, automatizovaných čisticích a mycích zařízení, zrychlení informačních a komunikačních technologií, inovace výrobků a procesů; a (2) netechnologické šoky, tj. všechny ostatní šoky, které ovlivňují produktivitu práce dočasně prostřednictvím svých dopadů na akumulaci kapitálu a agregátní poptávku. </w:t>
      </w:r>
    </w:p>
    <w:p w:rsidR="00AB3F83" w:rsidRPr="00E54D02" w:rsidRDefault="00AB3F83" w:rsidP="00E54D02">
      <w:pPr>
        <w:shd w:val="clear" w:color="auto" w:fill="FFFFFF"/>
        <w:spacing w:after="360" w:line="360" w:lineRule="auto"/>
        <w:jc w:val="both"/>
      </w:pPr>
      <w:r w:rsidRPr="00E54D02">
        <w:t xml:space="preserve">Dalším z důležitých faktorů ovlivňujíví ekonomickou výkonnost a následně i produktivitu práce jsou hospodářské cykly a fáze ve kterých se konkrétní ekonomika nachází (Volek, Novotná, 2012). Reakce produktivity práce na ekonomickou  krizi (fázi recece) není ve všech zemích stejná (Auzina-Emsina, 2014), když důležitým faktorem je zde odvětvová orientace </w:t>
      </w:r>
      <w:r w:rsidRPr="00E54D02">
        <w:lastRenderedPageBreak/>
        <w:t xml:space="preserve">států Model založený na produktivitě předpovídá, že produktivita práce silně koreluje se zaměstnaností, nezaměstnaností, volnými pracovními místy a mzdami (Hagedorn, Manovskii 2011). Významným faktorem, který ovlivňuje velikost produktivity práce, jsou charakteristiky pracovních míst (Fuchs-Schündeln, Izem 2012). Produktivita práce se mění mezi jednotlivými odvětvími a obory a odráží nedávné události a ekonomické podmínky (Holman, el al. 2008).  </w:t>
      </w:r>
    </w:p>
    <w:p w:rsidR="00F76ABF" w:rsidRPr="00E54D02" w:rsidRDefault="00F76ABF" w:rsidP="00E54D02">
      <w:pPr>
        <w:shd w:val="clear" w:color="auto" w:fill="FFFFFF"/>
        <w:spacing w:after="360" w:line="360" w:lineRule="auto"/>
        <w:jc w:val="both"/>
        <w:rPr>
          <w:b/>
          <w:color w:val="333333"/>
          <w:lang w:val="en-GB" w:eastAsia="en-GB"/>
        </w:rPr>
      </w:pPr>
      <w:r w:rsidRPr="00E54D02">
        <w:rPr>
          <w:b/>
          <w:color w:val="333333"/>
          <w:lang w:val="en-GB" w:eastAsia="en-GB"/>
        </w:rPr>
        <w:t xml:space="preserve">Produktivita kapitálu </w:t>
      </w:r>
      <w:r w:rsidR="00A0265C" w:rsidRPr="00E54D02">
        <w:rPr>
          <w:b/>
          <w:color w:val="333333"/>
          <w:lang w:val="en-GB" w:eastAsia="en-GB"/>
        </w:rPr>
        <w:t>(CP)</w:t>
      </w:r>
    </w:p>
    <w:p w:rsidR="005A2B4F" w:rsidRPr="00E54D02" w:rsidRDefault="005A2B4F" w:rsidP="00E54D02">
      <w:pPr>
        <w:shd w:val="clear" w:color="auto" w:fill="FFFFFF"/>
        <w:spacing w:after="360" w:line="360" w:lineRule="auto"/>
        <w:jc w:val="both"/>
        <w:rPr>
          <w:color w:val="333333"/>
          <w:lang w:val="en-GB" w:eastAsia="en-GB"/>
        </w:rPr>
      </w:pPr>
      <w:r w:rsidRPr="00E54D02">
        <w:rPr>
          <w:color w:val="333333"/>
          <w:lang w:val="en-GB" w:eastAsia="en-GB"/>
        </w:rPr>
        <w:t xml:space="preserve">Analogicky k produktivitě práce měřené množství produkce </w:t>
      </w:r>
      <w:proofErr w:type="gramStart"/>
      <w:r w:rsidRPr="00E54D02">
        <w:rPr>
          <w:color w:val="333333"/>
          <w:lang w:val="en-GB" w:eastAsia="en-GB"/>
        </w:rPr>
        <w:t>na</w:t>
      </w:r>
      <w:proofErr w:type="gramEnd"/>
      <w:r w:rsidRPr="00E54D02">
        <w:rPr>
          <w:color w:val="333333"/>
          <w:lang w:val="en-GB" w:eastAsia="en-GB"/>
        </w:rPr>
        <w:t xml:space="preserve"> jednotku vstupu se pokouší produktivita kapitálu zachytit určitou představu o efektivnosti vkládaného kapitálu.  Tato analogie není dokonalá neboť u productivity práce je možné využít určitou fyzickou míru avšak u productivity kapitálu žádná taková přirozená míra neexistuje (Mohun, 2009). Z tohoto důvodu se využívá měření v peněžních jednotkách. Mohun (2009) upozornil, že </w:t>
      </w:r>
      <w:proofErr w:type="gramStart"/>
      <w:r w:rsidRPr="00E54D02">
        <w:rPr>
          <w:color w:val="333333"/>
          <w:lang w:val="en-GB" w:eastAsia="en-GB"/>
        </w:rPr>
        <w:t>na</w:t>
      </w:r>
      <w:proofErr w:type="gramEnd"/>
      <w:r w:rsidRPr="00E54D02">
        <w:rPr>
          <w:color w:val="333333"/>
          <w:lang w:val="en-GB" w:eastAsia="en-GB"/>
        </w:rPr>
        <w:t xml:space="preserve"> produktivitu kapitálu můžem mít vliv míra využití tohoto výrobního faktoru tzn. </w:t>
      </w:r>
      <w:proofErr w:type="gramStart"/>
      <w:r w:rsidRPr="00E54D02">
        <w:rPr>
          <w:color w:val="333333"/>
          <w:lang w:val="en-GB" w:eastAsia="en-GB"/>
        </w:rPr>
        <w:t>výrobní</w:t>
      </w:r>
      <w:proofErr w:type="gramEnd"/>
      <w:r w:rsidRPr="00E54D02">
        <w:rPr>
          <w:color w:val="333333"/>
          <w:lang w:val="en-GB" w:eastAsia="en-GB"/>
        </w:rPr>
        <w:t xml:space="preserve"> kapaticta, ale pouze z krátkého období, kdy jde silný vliv hospodářského cyklu. </w:t>
      </w:r>
    </w:p>
    <w:p w:rsidR="00F76ABF" w:rsidRPr="00E54D02" w:rsidRDefault="005A2B4F" w:rsidP="00E54D02">
      <w:pPr>
        <w:shd w:val="clear" w:color="auto" w:fill="FFFFFF"/>
        <w:spacing w:after="360" w:line="360" w:lineRule="auto"/>
        <w:jc w:val="both"/>
        <w:rPr>
          <w:color w:val="333333"/>
          <w:lang w:val="en-GB" w:eastAsia="en-GB"/>
        </w:rPr>
      </w:pPr>
      <w:r w:rsidRPr="00E54D02">
        <w:t xml:space="preserve">Produktivita kapitálu vyjadřuje vztah mezi produkcí a množstvím použitého kapitálu v ekonomice či podniku.  </w:t>
      </w:r>
      <w:r w:rsidRPr="00E54D02">
        <w:rPr>
          <w:color w:val="333333"/>
          <w:lang w:val="en-GB" w:eastAsia="en-GB"/>
        </w:rPr>
        <w:t xml:space="preserve">Produktivitu kapitálu tedy </w:t>
      </w:r>
      <w:r w:rsidR="007D2157" w:rsidRPr="00E54D02">
        <w:rPr>
          <w:color w:val="333333"/>
          <w:lang w:val="en-GB" w:eastAsia="en-GB"/>
        </w:rPr>
        <w:t>měří toky služeb z úrovně zásoby fyzického kapitálu.</w:t>
      </w:r>
      <w:r w:rsidRPr="00E54D02">
        <w:rPr>
          <w:color w:val="333333"/>
          <w:lang w:val="en-GB" w:eastAsia="en-GB"/>
        </w:rPr>
        <w:t xml:space="preserve"> </w:t>
      </w:r>
      <w:r w:rsidR="007D2157" w:rsidRPr="00E54D02">
        <w:rPr>
          <w:color w:val="333333"/>
          <w:lang w:val="en-GB" w:eastAsia="en-GB"/>
        </w:rPr>
        <w:t>(Yasser, Joutz 2005). Index kapitálové produktivity ukazuje časový profil toho, jak se produktivně je kapitál využíván k tvorbě přidané hodnoty. Produktivita kapitálu odráží společný vliv práce, mezivstupů, technické změny, změny efektivnosti, úspor z rozsahu, využití kapacit a chyb měření.</w:t>
      </w:r>
    </w:p>
    <w:p w:rsidR="005A2B4F" w:rsidRPr="00E54D02" w:rsidRDefault="005A2B4F" w:rsidP="00E54D02">
      <w:pPr>
        <w:shd w:val="clear" w:color="auto" w:fill="FFFFFF"/>
        <w:spacing w:after="360" w:line="360" w:lineRule="auto"/>
        <w:jc w:val="both"/>
        <w:rPr>
          <w:color w:val="333333"/>
          <w:lang w:val="en-GB" w:eastAsia="en-GB"/>
        </w:rPr>
      </w:pPr>
      <w:r w:rsidRPr="00E54D02">
        <w:rPr>
          <w:color w:val="333333"/>
          <w:lang w:val="en-GB" w:eastAsia="en-GB"/>
        </w:rPr>
        <w:t xml:space="preserve">Produktivita práce   =   </w:t>
      </w:r>
      <m:oMath>
        <m:r>
          <w:rPr>
            <w:rFonts w:ascii="Cambria Math" w:hAnsi="Cambria Math"/>
            <w:color w:val="333333"/>
            <w:lang w:val="en-GB" w:eastAsia="en-GB"/>
          </w:rPr>
          <m:t xml:space="preserve"> </m:t>
        </m:r>
        <m:f>
          <m:fPr>
            <m:ctrlPr>
              <w:rPr>
                <w:rFonts w:ascii="Cambria Math" w:hAnsi="Cambria Math"/>
                <w:i/>
              </w:rPr>
            </m:ctrlPr>
          </m:fPr>
          <m:num>
            <m:r>
              <w:rPr>
                <w:rFonts w:ascii="Cambria Math" w:hAnsi="Cambria Math"/>
              </w:rPr>
              <m:t>hodnota produkce (Y nebo Q)</m:t>
            </m:r>
          </m:num>
          <m:den>
            <m:r>
              <w:rPr>
                <w:rFonts w:ascii="Cambria Math" w:hAnsi="Cambria Math"/>
              </w:rPr>
              <m:t xml:space="preserve">  kapitál (K)</m:t>
            </m:r>
          </m:den>
        </m:f>
      </m:oMath>
      <w:r w:rsidRPr="00E54D02">
        <w:rPr>
          <w:color w:val="333333"/>
          <w:lang w:val="en-GB" w:eastAsia="en-GB"/>
        </w:rPr>
        <w:t xml:space="preserve">   </w:t>
      </w:r>
    </w:p>
    <w:p w:rsidR="006B1EBE" w:rsidRPr="00E54D02" w:rsidRDefault="006B1EBE" w:rsidP="00E54D02">
      <w:pPr>
        <w:shd w:val="clear" w:color="auto" w:fill="FFFFFF"/>
        <w:spacing w:after="360" w:line="360" w:lineRule="auto"/>
        <w:jc w:val="both"/>
        <w:rPr>
          <w:color w:val="333333"/>
          <w:lang w:val="en-GB" w:eastAsia="en-GB"/>
        </w:rPr>
      </w:pPr>
      <w:r w:rsidRPr="00E54D02">
        <w:rPr>
          <w:color w:val="333333"/>
          <w:lang w:val="en-GB" w:eastAsia="en-GB"/>
        </w:rPr>
        <w:t xml:space="preserve">Pro vyjádření kapitálu z celkoekonomického hlediska se využívá statistický ukazatel tvorby hrubého fixního kapitálu (GFCF). Tento </w:t>
      </w:r>
      <w:proofErr w:type="gramStart"/>
      <w:r w:rsidRPr="00E54D02">
        <w:rPr>
          <w:color w:val="333333"/>
          <w:lang w:val="en-GB" w:eastAsia="en-GB"/>
        </w:rPr>
        <w:t>ukazatel  se</w:t>
      </w:r>
      <w:proofErr w:type="gramEnd"/>
      <w:r w:rsidRPr="00E54D02">
        <w:rPr>
          <w:color w:val="333333"/>
          <w:lang w:val="en-GB" w:eastAsia="en-GB"/>
        </w:rPr>
        <w:t xml:space="preserve"> skládá z investic rezidentních výrobců po odečtení úbytků do dlouhodobého </w:t>
      </w:r>
      <w:hyperlink r:id="rId9" w:history="1">
        <w:r w:rsidRPr="00E54D02">
          <w:rPr>
            <w:color w:val="333333"/>
            <w:lang w:val="en-GB" w:eastAsia="en-GB"/>
          </w:rPr>
          <w:t>majetku</w:t>
        </w:r>
      </w:hyperlink>
      <w:r w:rsidRPr="00E54D02">
        <w:rPr>
          <w:color w:val="333333"/>
          <w:lang w:val="en-GB" w:eastAsia="en-GB"/>
        </w:rPr>
        <w:t xml:space="preserve"> během daného období.  Z podnikového hlediska se využívá pro vymezení kapitálu ukazatel dlouhodobého majektu. </w:t>
      </w:r>
    </w:p>
    <w:p w:rsidR="009460EB" w:rsidRPr="00E54D02" w:rsidRDefault="009460EB" w:rsidP="00E54D02">
      <w:pPr>
        <w:shd w:val="clear" w:color="auto" w:fill="FFFFFF"/>
        <w:spacing w:after="360" w:line="360" w:lineRule="auto"/>
        <w:jc w:val="both"/>
        <w:rPr>
          <w:color w:val="333333"/>
          <w:lang w:val="en-GB" w:eastAsia="en-GB"/>
        </w:rPr>
      </w:pPr>
      <w:r w:rsidRPr="00E54D02">
        <w:rPr>
          <w:color w:val="333333"/>
          <w:lang w:val="en-GB" w:eastAsia="en-GB"/>
        </w:rPr>
        <w:t xml:space="preserve">Růst </w:t>
      </w:r>
      <w:proofErr w:type="gramStart"/>
      <w:r w:rsidRPr="00E54D02">
        <w:rPr>
          <w:color w:val="333333"/>
          <w:lang w:val="en-GB" w:eastAsia="en-GB"/>
        </w:rPr>
        <w:t>podnikové  produktivity</w:t>
      </w:r>
      <w:proofErr w:type="gramEnd"/>
      <w:r w:rsidRPr="00E54D02">
        <w:rPr>
          <w:color w:val="333333"/>
          <w:lang w:val="en-GB" w:eastAsia="en-GB"/>
        </w:rPr>
        <w:t xml:space="preserve"> zvyšuje finanční výkonnost podniků. Růst produktivity zvyšuje i běžně používané ukazatele finanční výkonnosti jako rentabilitu aktiv</w:t>
      </w:r>
      <w:r w:rsidRPr="00E54D02">
        <w:rPr>
          <w:color w:val="333333"/>
          <w:lang w:val="en-GB" w:eastAsia="en-GB"/>
        </w:rPr>
        <w:t>. Pozitivní vliv růstu productivity na podnikouvou výkonn</w:t>
      </w:r>
      <w:r w:rsidR="00571FF5" w:rsidRPr="00E54D02">
        <w:rPr>
          <w:color w:val="333333"/>
          <w:lang w:val="en-GB" w:eastAsia="en-GB"/>
        </w:rPr>
        <w:t xml:space="preserve">ost potvrdilo mnoho studie </w:t>
      </w:r>
      <w:r w:rsidR="00571FF5" w:rsidRPr="00E54D02">
        <w:t>Bottazzi et al. (2008</w:t>
      </w:r>
      <w:proofErr w:type="gramStart"/>
      <w:r w:rsidR="00571FF5" w:rsidRPr="00E54D02">
        <w:t>)či</w:t>
      </w:r>
      <w:proofErr w:type="gramEnd"/>
      <w:r w:rsidR="00571FF5" w:rsidRPr="00E54D02">
        <w:t xml:space="preserve">  van den Berg et al., 2018. </w:t>
      </w:r>
      <w:r w:rsidRPr="00E54D02">
        <w:rPr>
          <w:color w:val="333333"/>
          <w:lang w:val="en-GB" w:eastAsia="en-GB"/>
        </w:rPr>
        <w:t>Růst mikroekonomické</w:t>
      </w:r>
      <w:r w:rsidRPr="00E54D02">
        <w:rPr>
          <w:color w:val="333333"/>
          <w:lang w:val="en-GB" w:eastAsia="en-GB"/>
        </w:rPr>
        <w:t xml:space="preserve"> produktivity</w:t>
      </w:r>
      <w:r w:rsidRPr="00E54D02">
        <w:rPr>
          <w:color w:val="333333"/>
          <w:lang w:val="en-GB" w:eastAsia="en-GB"/>
        </w:rPr>
        <w:t xml:space="preserve"> vede </w:t>
      </w:r>
      <w:proofErr w:type="gramStart"/>
      <w:r w:rsidRPr="00E54D02">
        <w:rPr>
          <w:color w:val="333333"/>
          <w:lang w:val="en-GB" w:eastAsia="en-GB"/>
        </w:rPr>
        <w:t>k  růstu</w:t>
      </w:r>
      <w:proofErr w:type="gramEnd"/>
      <w:r w:rsidRPr="00E54D02">
        <w:rPr>
          <w:color w:val="333333"/>
          <w:lang w:val="en-GB" w:eastAsia="en-GB"/>
        </w:rPr>
        <w:t xml:space="preserve">  agregované </w:t>
      </w:r>
      <w:r w:rsidRPr="00E54D02">
        <w:rPr>
          <w:color w:val="333333"/>
          <w:lang w:val="en-GB" w:eastAsia="en-GB"/>
        </w:rPr>
        <w:lastRenderedPageBreak/>
        <w:t xml:space="preserve">makroekonomické produktivity. Jedním ze způsobů, jak posoudit roli růstu vstupů, je rozšířit seznam vstupů, třeba rozložením stávajících vstupů. Romer klade důraz na znalosti </w:t>
      </w:r>
      <w:proofErr w:type="gramStart"/>
      <w:r w:rsidRPr="00E54D02">
        <w:rPr>
          <w:color w:val="333333"/>
          <w:lang w:val="en-GB" w:eastAsia="en-GB"/>
        </w:rPr>
        <w:t>získané  technologie</w:t>
      </w:r>
      <w:proofErr w:type="gramEnd"/>
      <w:r w:rsidRPr="00E54D02">
        <w:rPr>
          <w:color w:val="333333"/>
          <w:lang w:val="en-GB" w:eastAsia="en-GB"/>
        </w:rPr>
        <w:t xml:space="preserve"> endogenního výzkumu a externality spojené s takovými znalostmi. Lucas zdůrazňuje lidský kapitál nashromážděný vzděláváním </w:t>
      </w:r>
      <w:proofErr w:type="gramStart"/>
      <w:r w:rsidRPr="00E54D02">
        <w:rPr>
          <w:color w:val="333333"/>
          <w:lang w:val="en-GB" w:eastAsia="en-GB"/>
        </w:rPr>
        <w:t>a</w:t>
      </w:r>
      <w:proofErr w:type="gramEnd"/>
      <w:r w:rsidRPr="00E54D02">
        <w:rPr>
          <w:color w:val="333333"/>
          <w:lang w:val="en-GB" w:eastAsia="en-GB"/>
        </w:rPr>
        <w:t xml:space="preserve"> učením praxí a externality, které vytváří. Mankiw, Romer a Weil si zachovávají prvky Solowova neoklasicistního růstového modelu a zdůrazňují také akumulaci lidského kapitálu (</w:t>
      </w:r>
      <w:r w:rsidRPr="00E54D02">
        <w:t>(Grifell-Tatjé et al., 2018).</w:t>
      </w:r>
      <w:r w:rsidRPr="00E54D02">
        <w:rPr>
          <w:color w:val="333333"/>
          <w:lang w:val="en-GB" w:eastAsia="en-GB"/>
        </w:rPr>
        <w:t xml:space="preserve">  V současném evironmentálním směru se již, klade důraz oblast živostního prostředí, kdy jaké dopady bude mít růst produktivity </w:t>
      </w:r>
      <w:proofErr w:type="gramStart"/>
      <w:r w:rsidRPr="00E54D02">
        <w:rPr>
          <w:color w:val="333333"/>
          <w:lang w:val="en-GB" w:eastAsia="en-GB"/>
        </w:rPr>
        <w:t>na</w:t>
      </w:r>
      <w:proofErr w:type="gramEnd"/>
      <w:r w:rsidRPr="00E54D02">
        <w:rPr>
          <w:color w:val="333333"/>
          <w:lang w:val="en-GB" w:eastAsia="en-GB"/>
        </w:rPr>
        <w:t xml:space="preserve"> životní prostřední. </w:t>
      </w:r>
    </w:p>
    <w:p w:rsidR="009460EB" w:rsidRPr="00E54D02" w:rsidRDefault="009460EB" w:rsidP="00E54D02">
      <w:pPr>
        <w:shd w:val="clear" w:color="auto" w:fill="FFFFFF"/>
        <w:spacing w:after="360" w:line="360" w:lineRule="auto"/>
        <w:jc w:val="both"/>
        <w:rPr>
          <w:color w:val="333333"/>
          <w:lang w:val="en-GB" w:eastAsia="en-GB"/>
        </w:rPr>
      </w:pPr>
    </w:p>
    <w:p w:rsidR="00F76ABF" w:rsidRPr="00E54D02" w:rsidRDefault="006B1EBE" w:rsidP="00E54D02">
      <w:pPr>
        <w:shd w:val="clear" w:color="auto" w:fill="FFFFFF"/>
        <w:spacing w:after="360" w:line="360" w:lineRule="auto"/>
        <w:rPr>
          <w:b/>
          <w:color w:val="333333"/>
          <w:lang w:val="en-GB" w:eastAsia="en-GB"/>
        </w:rPr>
      </w:pPr>
      <w:r w:rsidRPr="00E54D02">
        <w:rPr>
          <w:color w:val="333333"/>
          <w:lang w:val="en-GB" w:eastAsia="en-GB"/>
        </w:rPr>
        <w:t xml:space="preserve"> </w:t>
      </w:r>
      <w:r w:rsidR="00F76ABF" w:rsidRPr="00E54D02">
        <w:rPr>
          <w:b/>
          <w:color w:val="333333"/>
          <w:lang w:val="en-GB" w:eastAsia="en-GB"/>
        </w:rPr>
        <w:t>Multifaktorová produktivita (T</w:t>
      </w:r>
      <w:r w:rsidR="001453A5" w:rsidRPr="00E54D02">
        <w:rPr>
          <w:b/>
          <w:color w:val="333333"/>
          <w:lang w:val="en-GB" w:eastAsia="en-GB"/>
        </w:rPr>
        <w:t>otal factor productivity - T</w:t>
      </w:r>
      <w:r w:rsidR="00F76ABF" w:rsidRPr="00E54D02">
        <w:rPr>
          <w:b/>
          <w:color w:val="333333"/>
          <w:lang w:val="en-GB" w:eastAsia="en-GB"/>
        </w:rPr>
        <w:t>FP)</w:t>
      </w:r>
    </w:p>
    <w:p w:rsidR="001453A5" w:rsidRPr="00E54D02" w:rsidRDefault="008825E4" w:rsidP="00E54D02">
      <w:pPr>
        <w:shd w:val="clear" w:color="auto" w:fill="FFFFFF"/>
        <w:spacing w:after="360" w:line="360" w:lineRule="auto"/>
        <w:jc w:val="both"/>
      </w:pPr>
      <w:r w:rsidRPr="00E54D02">
        <w:rPr>
          <w:color w:val="333333"/>
          <w:lang w:val="en-GB" w:eastAsia="en-GB"/>
        </w:rPr>
        <w:t xml:space="preserve">Celková faktorová produktivita (TFP) je část výstupu, která není vysvětlena množstvím vstupů použitých ve výrobě. Jeho úroveň je dána tím, jak efektivně </w:t>
      </w:r>
      <w:proofErr w:type="gramStart"/>
      <w:r w:rsidRPr="00E54D02">
        <w:rPr>
          <w:color w:val="333333"/>
          <w:lang w:val="en-GB" w:eastAsia="en-GB"/>
        </w:rPr>
        <w:t>a</w:t>
      </w:r>
      <w:proofErr w:type="gramEnd"/>
      <w:r w:rsidRPr="00E54D02">
        <w:rPr>
          <w:color w:val="333333"/>
          <w:lang w:val="en-GB" w:eastAsia="en-GB"/>
        </w:rPr>
        <w:t xml:space="preserve"> intenzivně jsou vstupy využívány ve výrobě</w:t>
      </w:r>
      <w:r w:rsidR="00B960E9" w:rsidRPr="00E54D02">
        <w:rPr>
          <w:color w:val="333333"/>
          <w:lang w:val="en-GB" w:eastAsia="en-GB"/>
        </w:rPr>
        <w:t xml:space="preserve"> (Comin, 2010)</w:t>
      </w:r>
      <w:r w:rsidRPr="00E54D02">
        <w:rPr>
          <w:color w:val="333333"/>
          <w:lang w:val="en-GB" w:eastAsia="en-GB"/>
        </w:rPr>
        <w:t>.</w:t>
      </w:r>
      <w:r w:rsidR="00897BA7" w:rsidRPr="00E54D02">
        <w:t xml:space="preserve"> </w:t>
      </w:r>
      <w:r w:rsidR="00897BA7" w:rsidRPr="00E54D02">
        <w:rPr>
          <w:color w:val="333333"/>
          <w:lang w:val="en-GB" w:eastAsia="en-GB"/>
        </w:rPr>
        <w:t>Prescot (1998</w:t>
      </w:r>
      <w:proofErr w:type="gramStart"/>
      <w:r w:rsidR="00897BA7" w:rsidRPr="00E54D02">
        <w:rPr>
          <w:color w:val="333333"/>
          <w:lang w:val="en-GB" w:eastAsia="en-GB"/>
        </w:rPr>
        <w:t>)  upozorňuje</w:t>
      </w:r>
      <w:proofErr w:type="gramEnd"/>
      <w:r w:rsidR="00897BA7" w:rsidRPr="00E54D02">
        <w:rPr>
          <w:color w:val="333333"/>
          <w:lang w:val="en-GB" w:eastAsia="en-GB"/>
        </w:rPr>
        <w:t xml:space="preserve"> u TFP na vliv technologického pokroku s následným vlivem na celkovou efektivnost ostatních výrobních faktorů.</w:t>
      </w:r>
      <w:r w:rsidR="00AB3F83" w:rsidRPr="00E54D02">
        <w:rPr>
          <w:color w:val="333333"/>
          <w:lang w:val="en-GB" w:eastAsia="en-GB"/>
        </w:rPr>
        <w:t xml:space="preserve"> V</w:t>
      </w:r>
      <w:r w:rsidR="00C33C5F" w:rsidRPr="00E54D02">
        <w:rPr>
          <w:color w:val="333333"/>
          <w:shd w:val="clear" w:color="auto" w:fill="FCFCFC"/>
        </w:rPr>
        <w:t xml:space="preserve"> </w:t>
      </w:r>
      <w:r w:rsidR="00C33C5F" w:rsidRPr="00E54D02">
        <w:rPr>
          <w:color w:val="333333"/>
          <w:lang w:val="en-GB" w:eastAsia="en-GB"/>
        </w:rPr>
        <w:t>literatuře se používá řada různých způsobů měření TFP. Ty lze rozdělit na neparametrická opatření, jako je index Divisia nebo Malmquistův index (Färe et al. </w:t>
      </w:r>
      <w:hyperlink r:id="rId10" w:anchor="ref-CR21" w:tooltip="Färe R, Grosskopf S, Lindgren B, Roos P (1994) Vývoj produktivity ve švédských nemocnicích: přístup Malmquistova výstupního indexu.  In: Charnes A, Cooper WW, Lewin AY, Seiford LM (Eds.) Analýza vývoje dat: teorie, metodologie a aplikace.  Springer, Dordrecht," w:history="1">
        <w:r w:rsidR="00C33C5F" w:rsidRPr="00E54D02">
          <w:rPr>
            <w:color w:val="333333"/>
            <w:lang w:val="en-GB" w:eastAsia="en-GB"/>
          </w:rPr>
          <w:t>1994</w:t>
        </w:r>
      </w:hyperlink>
      <w:r w:rsidR="00C33C5F" w:rsidRPr="00E54D02">
        <w:rPr>
          <w:color w:val="333333"/>
          <w:lang w:val="en-GB" w:eastAsia="en-GB"/>
        </w:rPr>
        <w:t> ), parametrická opatření jako funkce průměrné produkce (Solow </w:t>
      </w:r>
      <w:hyperlink r:id="rId11" w:anchor="ref-CR68" w:tooltip="Solow RM (1957) Technické změny a funkce agregační produkce.  Rev Econ Stat 39 (3): 312–320" w:history="1">
        <w:r w:rsidR="00C33C5F" w:rsidRPr="00E54D02">
          <w:rPr>
            <w:color w:val="333333"/>
            <w:lang w:val="en-GB" w:eastAsia="en-GB"/>
          </w:rPr>
          <w:t>1957</w:t>
        </w:r>
      </w:hyperlink>
      <w:r w:rsidR="00C33C5F" w:rsidRPr="00E54D02">
        <w:rPr>
          <w:color w:val="333333"/>
          <w:lang w:val="en-GB" w:eastAsia="en-GB"/>
        </w:rPr>
        <w:t> )a</w:t>
      </w:r>
      <w:r w:rsidR="00BB269F" w:rsidRPr="00E54D02">
        <w:rPr>
          <w:color w:val="333333"/>
          <w:lang w:val="en-GB" w:eastAsia="en-GB"/>
        </w:rPr>
        <w:t>Stochastická hraniční analýza</w:t>
      </w:r>
      <w:r w:rsidR="00C33C5F" w:rsidRPr="00E54D02">
        <w:rPr>
          <w:color w:val="333333"/>
          <w:lang w:val="en-GB" w:eastAsia="en-GB"/>
        </w:rPr>
        <w:t xml:space="preserve"> (Aigner et al. </w:t>
      </w:r>
      <w:hyperlink r:id="rId12" w:anchor="ref-CR3" w:tooltip="Aigner D, Lovell CK, Schmidt P (1977) Formulace a odhad stochastických modelů hraniční produkční funkce.  J Econ 6: 21–37" w:history="1">
        <w:r w:rsidR="00C33C5F" w:rsidRPr="00E54D02">
          <w:rPr>
            <w:color w:val="333333"/>
            <w:lang w:val="en-GB" w:eastAsia="en-GB"/>
          </w:rPr>
          <w:t>1977</w:t>
        </w:r>
      </w:hyperlink>
      <w:r w:rsidR="00AB3F83" w:rsidRPr="00E54D02">
        <w:rPr>
          <w:color w:val="333333"/>
          <w:lang w:val="en-GB" w:eastAsia="en-GB"/>
        </w:rPr>
        <w:t>)</w:t>
      </w:r>
      <w:r w:rsidR="00C33C5F" w:rsidRPr="00E54D02">
        <w:rPr>
          <w:color w:val="333333"/>
          <w:lang w:val="en-GB" w:eastAsia="en-GB"/>
        </w:rPr>
        <w:t xml:space="preserve">. Neparametrická opatření založená </w:t>
      </w:r>
      <w:proofErr w:type="gramStart"/>
      <w:r w:rsidR="00C33C5F" w:rsidRPr="00E54D02">
        <w:rPr>
          <w:color w:val="333333"/>
          <w:lang w:val="en-GB" w:eastAsia="en-GB"/>
        </w:rPr>
        <w:t>na</w:t>
      </w:r>
      <w:proofErr w:type="gramEnd"/>
      <w:r w:rsidR="00C33C5F" w:rsidRPr="00E54D02">
        <w:rPr>
          <w:color w:val="333333"/>
          <w:lang w:val="en-GB" w:eastAsia="en-GB"/>
        </w:rPr>
        <w:t xml:space="preserve"> DEA</w:t>
      </w:r>
      <w:r w:rsidR="00AB3F83" w:rsidRPr="00E54D02">
        <w:rPr>
          <w:color w:val="333333"/>
          <w:lang w:val="en-GB" w:eastAsia="en-GB"/>
        </w:rPr>
        <w:t xml:space="preserve"> </w:t>
      </w:r>
      <w:r w:rsidR="00C33C5F" w:rsidRPr="00E54D02">
        <w:rPr>
          <w:color w:val="333333"/>
          <w:lang w:val="en-GB" w:eastAsia="en-GB"/>
        </w:rPr>
        <w:t>mají</w:t>
      </w:r>
      <w:r w:rsidR="00AB3F83" w:rsidRPr="00E54D02">
        <w:rPr>
          <w:color w:val="333333"/>
          <w:lang w:val="en-GB" w:eastAsia="en-GB"/>
        </w:rPr>
        <w:t xml:space="preserve"> velká </w:t>
      </w:r>
      <w:r w:rsidR="00C33C5F" w:rsidRPr="00E54D02">
        <w:rPr>
          <w:color w:val="333333"/>
          <w:lang w:val="en-GB" w:eastAsia="en-GB"/>
        </w:rPr>
        <w:t>omezení interpretace veškeré odchylky od hranice jako neefektivn</w:t>
      </w:r>
      <w:r w:rsidR="00BB269F" w:rsidRPr="00E54D02">
        <w:rPr>
          <w:color w:val="333333"/>
          <w:lang w:val="en-GB" w:eastAsia="en-GB"/>
        </w:rPr>
        <w:t>í a citlivé na odlehlé hodnoty</w:t>
      </w:r>
      <w:r w:rsidR="00C33C5F" w:rsidRPr="00E54D02">
        <w:rPr>
          <w:color w:val="333333"/>
          <w:lang w:val="en-GB" w:eastAsia="en-GB"/>
        </w:rPr>
        <w:t xml:space="preserve"> </w:t>
      </w:r>
      <w:r w:rsidR="00BB269F" w:rsidRPr="00E54D02">
        <w:t>(Mattsson et al., 2020).</w:t>
      </w:r>
    </w:p>
    <w:p w:rsidR="00DD29A1" w:rsidRPr="00E54D02" w:rsidRDefault="00DD29A1" w:rsidP="00E54D02">
      <w:pPr>
        <w:spacing w:line="360" w:lineRule="auto"/>
        <w:rPr>
          <w:color w:val="000000"/>
        </w:rPr>
      </w:pPr>
      <w:r w:rsidRPr="00E54D02">
        <w:rPr>
          <w:rStyle w:val="jlqj4b"/>
          <w:color w:val="000000"/>
        </w:rPr>
        <w:t xml:space="preserve">TFP je nejsnáze vidět na často používané formulaci produkční funkce výstup je produktem funkce pozorovatelných vstupů </w:t>
      </w:r>
    </w:p>
    <w:p w:rsidR="00DD29A1" w:rsidRPr="00E54D02" w:rsidRDefault="00DD29A1" w:rsidP="00E54D02">
      <w:pPr>
        <w:shd w:val="clear" w:color="auto" w:fill="FFFFFF"/>
        <w:spacing w:after="360" w:line="360" w:lineRule="auto"/>
        <w:rPr>
          <w:color w:val="333333"/>
          <w:lang w:val="en-GB" w:eastAsia="en-GB"/>
        </w:rPr>
      </w:pPr>
      <w:r w:rsidRPr="00E54D02">
        <w:rPr>
          <w:color w:val="333333"/>
          <w:lang w:val="en-GB" w:eastAsia="en-GB"/>
        </w:rPr>
        <w:t>Y</w:t>
      </w:r>
      <w:r w:rsidRPr="00E54D02">
        <w:rPr>
          <w:color w:val="333333"/>
          <w:vertAlign w:val="subscript"/>
          <w:lang w:val="en-GB" w:eastAsia="en-GB"/>
        </w:rPr>
        <w:t>t</w:t>
      </w:r>
      <w:r w:rsidRPr="00E54D02">
        <w:rPr>
          <w:color w:val="333333"/>
          <w:lang w:val="en-GB" w:eastAsia="en-GB"/>
        </w:rPr>
        <w:t>=</w:t>
      </w:r>
      <w:proofErr w:type="gramStart"/>
      <w:r w:rsidRPr="00E54D02">
        <w:rPr>
          <w:color w:val="333333"/>
          <w:lang w:val="en-GB" w:eastAsia="en-GB"/>
        </w:rPr>
        <w:t>AtF(</w:t>
      </w:r>
      <w:proofErr w:type="gramEnd"/>
      <w:r w:rsidRPr="00E54D02">
        <w:rPr>
          <w:color w:val="333333"/>
          <w:lang w:val="en-GB" w:eastAsia="en-GB"/>
        </w:rPr>
        <w:t>Kt,Lt,Mt)</w:t>
      </w:r>
      <w:r w:rsidRPr="00E54D02">
        <w:rPr>
          <w:color w:val="333333"/>
          <w:lang w:val="en-GB" w:eastAsia="en-GB"/>
        </w:rPr>
        <w:t xml:space="preserve">, </w:t>
      </w:r>
    </w:p>
    <w:p w:rsidR="00A0265C" w:rsidRPr="00E54D02" w:rsidRDefault="00DD29A1" w:rsidP="00E54D02">
      <w:pPr>
        <w:shd w:val="clear" w:color="auto" w:fill="FFFFFF"/>
        <w:spacing w:after="360" w:line="360" w:lineRule="auto"/>
        <w:rPr>
          <w:color w:val="333333"/>
          <w:lang w:val="en-GB" w:eastAsia="en-GB"/>
        </w:rPr>
      </w:pPr>
      <w:proofErr w:type="gramStart"/>
      <w:r w:rsidRPr="00E54D02">
        <w:rPr>
          <w:color w:val="333333"/>
          <w:lang w:val="en-GB" w:eastAsia="en-GB"/>
        </w:rPr>
        <w:t>kde</w:t>
      </w:r>
      <w:proofErr w:type="gramEnd"/>
      <w:r w:rsidRPr="00E54D02">
        <w:rPr>
          <w:color w:val="333333"/>
          <w:lang w:val="en-GB" w:eastAsia="en-GB"/>
        </w:rPr>
        <w:t xml:space="preserve"> Y</w:t>
      </w:r>
      <w:r w:rsidRPr="00E54D02">
        <w:rPr>
          <w:color w:val="333333"/>
          <w:vertAlign w:val="subscript"/>
          <w:lang w:val="en-GB" w:eastAsia="en-GB"/>
        </w:rPr>
        <w:t>t</w:t>
      </w:r>
      <w:r w:rsidRPr="00E54D02">
        <w:rPr>
          <w:color w:val="333333"/>
          <w:lang w:val="en-GB" w:eastAsia="en-GB"/>
        </w:rPr>
        <w:t>je výstup, F je funkcí vstupů kapitálu Kt, práce Lt a Mt polotovarů. At pak znační celkovou produktivitu faktorů (TFP) (Syverson, 2011)</w:t>
      </w:r>
      <w:r w:rsidR="00E63E90">
        <w:rPr>
          <w:color w:val="333333"/>
          <w:lang w:val="en-GB" w:eastAsia="en-GB"/>
        </w:rPr>
        <w:t>. Oproti základnímu modelu</w:t>
      </w:r>
      <w:r w:rsidRPr="00E54D02">
        <w:rPr>
          <w:color w:val="333333"/>
          <w:lang w:val="en-GB" w:eastAsia="en-GB"/>
        </w:rPr>
        <w:t xml:space="preserve"> jsou zde ještě přidány jako jeden výrobních faktorů množství polotovarů. </w:t>
      </w:r>
    </w:p>
    <w:p w:rsidR="00F76ABF" w:rsidRPr="00E54D02" w:rsidRDefault="00705069" w:rsidP="00E54D02">
      <w:pPr>
        <w:pStyle w:val="Odstavecseseznamem"/>
        <w:numPr>
          <w:ilvl w:val="2"/>
          <w:numId w:val="2"/>
        </w:numPr>
        <w:shd w:val="clear" w:color="auto" w:fill="FFFFFF"/>
        <w:spacing w:after="360" w:line="360" w:lineRule="auto"/>
        <w:jc w:val="both"/>
        <w:rPr>
          <w:rFonts w:ascii="Times New Roman" w:eastAsia="Times New Roman" w:hAnsi="Times New Roman" w:cs="Times New Roman"/>
          <w:b/>
          <w:color w:val="333333"/>
          <w:sz w:val="24"/>
          <w:szCs w:val="24"/>
          <w:lang w:val="en-GB" w:eastAsia="en-GB"/>
        </w:rPr>
      </w:pPr>
      <w:r w:rsidRPr="00E54D02">
        <w:rPr>
          <w:rFonts w:ascii="Times New Roman" w:hAnsi="Times New Roman" w:cs="Times New Roman"/>
          <w:b/>
          <w:color w:val="292C2E"/>
          <w:sz w:val="24"/>
          <w:szCs w:val="24"/>
        </w:rPr>
        <w:t xml:space="preserve">Měření produktivity -  </w:t>
      </w:r>
      <w:r w:rsidR="00F76ABF" w:rsidRPr="00E54D02">
        <w:rPr>
          <w:rFonts w:ascii="Times New Roman" w:eastAsia="Times New Roman" w:hAnsi="Times New Roman" w:cs="Times New Roman"/>
          <w:b/>
          <w:color w:val="333333"/>
          <w:sz w:val="24"/>
          <w:szCs w:val="24"/>
          <w:lang w:val="en-GB" w:eastAsia="en-GB"/>
        </w:rPr>
        <w:t xml:space="preserve">Doplňující ukazatele využíváné při posouzování productivity </w:t>
      </w:r>
    </w:p>
    <w:p w:rsidR="00015789" w:rsidRPr="00E54D02" w:rsidRDefault="00015789" w:rsidP="00E54D02">
      <w:pPr>
        <w:shd w:val="clear" w:color="auto" w:fill="FFFFFF"/>
        <w:spacing w:after="360" w:line="360" w:lineRule="auto"/>
        <w:jc w:val="both"/>
        <w:rPr>
          <w:b/>
          <w:color w:val="333333"/>
          <w:lang w:val="en-GB" w:eastAsia="en-GB"/>
        </w:rPr>
      </w:pPr>
      <w:r w:rsidRPr="00E54D02">
        <w:rPr>
          <w:b/>
          <w:color w:val="333333"/>
          <w:lang w:val="en-GB" w:eastAsia="en-GB"/>
        </w:rPr>
        <w:t xml:space="preserve">Vybavenost práce </w:t>
      </w:r>
      <w:r w:rsidR="00A0265C" w:rsidRPr="00E54D02">
        <w:rPr>
          <w:b/>
          <w:color w:val="333333"/>
          <w:lang w:val="en-GB" w:eastAsia="en-GB"/>
        </w:rPr>
        <w:t>kapitálem (C-L ratio)</w:t>
      </w:r>
    </w:p>
    <w:p w:rsidR="00015789" w:rsidRPr="00E54D02" w:rsidRDefault="00015789" w:rsidP="00E54D02">
      <w:pPr>
        <w:shd w:val="clear" w:color="auto" w:fill="FFFFFF"/>
        <w:spacing w:after="360" w:line="360" w:lineRule="auto"/>
        <w:jc w:val="both"/>
        <w:rPr>
          <w:color w:val="333333"/>
          <w:lang w:val="en-GB" w:eastAsia="en-GB"/>
        </w:rPr>
      </w:pPr>
      <w:r w:rsidRPr="00E54D02">
        <w:rPr>
          <w:color w:val="333333"/>
          <w:lang w:val="en-GB" w:eastAsia="en-GB"/>
        </w:rPr>
        <w:lastRenderedPageBreak/>
        <w:t xml:space="preserve">Ukazatel vybavenosti práce kapitálem můžeme definovat jako poměr kapitálu a práce použitý v ekonomice, odvětví nebo podniku.  V literatuře můžeme tento ukzatel najít pod označením kapitálová intensita.  Dynamika a výše kapitálové náročnosti závisí </w:t>
      </w:r>
      <w:proofErr w:type="gramStart"/>
      <w:r w:rsidRPr="00E54D02">
        <w:rPr>
          <w:color w:val="333333"/>
          <w:lang w:val="en-GB" w:eastAsia="en-GB"/>
        </w:rPr>
        <w:t>na</w:t>
      </w:r>
      <w:proofErr w:type="gramEnd"/>
      <w:r w:rsidRPr="00E54D02">
        <w:rPr>
          <w:color w:val="333333"/>
          <w:lang w:val="en-GB" w:eastAsia="en-GB"/>
        </w:rPr>
        <w:t xml:space="preserve"> druhu odvětví. Různě definované poměrové ukazatele mohou měřit úroveň a dynamiku kapitálové intenzity. Pro zkoumání a posouzení dynamiky je dle Novotné (2021) užitečné rozložit a nasládně definovat zde </w:t>
      </w:r>
      <w:proofErr w:type="gramStart"/>
      <w:r w:rsidRPr="00E54D02">
        <w:rPr>
          <w:color w:val="333333"/>
          <w:lang w:val="en-GB" w:eastAsia="en-GB"/>
        </w:rPr>
        <w:t>jde  podnik</w:t>
      </w:r>
      <w:proofErr w:type="gramEnd"/>
      <w:r w:rsidRPr="00E54D02">
        <w:rPr>
          <w:color w:val="333333"/>
          <w:lang w:val="en-GB" w:eastAsia="en-GB"/>
        </w:rPr>
        <w:t xml:space="preserve"> či stát s pozitivní, neutrálním či negativním kaptiálovým rozvojem. </w:t>
      </w:r>
    </w:p>
    <w:p w:rsidR="00015789" w:rsidRPr="00E54D02" w:rsidRDefault="00015789" w:rsidP="00E54D02">
      <w:pPr>
        <w:shd w:val="clear" w:color="auto" w:fill="FFFFFF"/>
        <w:spacing w:after="360" w:line="360" w:lineRule="auto"/>
        <w:jc w:val="both"/>
        <w:rPr>
          <w:color w:val="333333"/>
          <w:lang w:val="en-GB" w:eastAsia="en-GB"/>
        </w:rPr>
      </w:pPr>
      <w:r w:rsidRPr="00E54D02">
        <w:rPr>
          <w:color w:val="333333"/>
          <w:lang w:val="en-GB" w:eastAsia="en-GB"/>
        </w:rPr>
        <w:t xml:space="preserve">Vybavenost práce kapitálem (C-L ratio)   =   </w:t>
      </w:r>
      <m:oMath>
        <m:r>
          <w:rPr>
            <w:rFonts w:ascii="Cambria Math" w:hAnsi="Cambria Math"/>
            <w:color w:val="333333"/>
            <w:lang w:val="en-GB" w:eastAsia="en-GB"/>
          </w:rPr>
          <m:t xml:space="preserve"> </m:t>
        </m:r>
        <m:f>
          <m:fPr>
            <m:ctrlPr>
              <w:rPr>
                <w:rFonts w:ascii="Cambria Math" w:hAnsi="Cambria Math"/>
                <w:i/>
              </w:rPr>
            </m:ctrlPr>
          </m:fPr>
          <m:num>
            <m:r>
              <w:rPr>
                <w:rFonts w:ascii="Cambria Math" w:hAnsi="Cambria Math"/>
              </w:rPr>
              <m:t>kapitál (K)</m:t>
            </m:r>
          </m:num>
          <m:den>
            <m:r>
              <w:rPr>
                <w:rFonts w:ascii="Cambria Math" w:hAnsi="Cambria Math"/>
              </w:rPr>
              <m:t xml:space="preserve">  spotřeba práce (L)</m:t>
            </m:r>
          </m:den>
        </m:f>
      </m:oMath>
      <w:r w:rsidRPr="00E54D02">
        <w:rPr>
          <w:color w:val="333333"/>
          <w:lang w:val="en-GB" w:eastAsia="en-GB"/>
        </w:rPr>
        <w:t xml:space="preserve">   </w:t>
      </w:r>
    </w:p>
    <w:p w:rsidR="001453A5" w:rsidRPr="00E54D02" w:rsidRDefault="001453A5" w:rsidP="00E54D02">
      <w:pPr>
        <w:shd w:val="clear" w:color="auto" w:fill="FFFFFF"/>
        <w:spacing w:after="360" w:line="360" w:lineRule="auto"/>
        <w:rPr>
          <w:b/>
        </w:rPr>
      </w:pPr>
      <w:r w:rsidRPr="00E54D02">
        <w:rPr>
          <w:b/>
        </w:rPr>
        <w:t>Hrubá míra investic</w:t>
      </w:r>
      <w:r w:rsidR="002714E8" w:rsidRPr="00E54D02">
        <w:rPr>
          <w:b/>
        </w:rPr>
        <w:t xml:space="preserve"> </w:t>
      </w:r>
      <w:r w:rsidR="00A0265C" w:rsidRPr="00E54D02">
        <w:rPr>
          <w:b/>
        </w:rPr>
        <w:t xml:space="preserve"> (GIR)</w:t>
      </w:r>
    </w:p>
    <w:p w:rsidR="002714E8" w:rsidRPr="00E54D02" w:rsidRDefault="002714E8" w:rsidP="00E54D02">
      <w:pPr>
        <w:shd w:val="clear" w:color="auto" w:fill="FFFFFF"/>
        <w:spacing w:after="360" w:line="360" w:lineRule="auto"/>
        <w:jc w:val="both"/>
      </w:pPr>
      <w:r w:rsidRPr="00E54D02">
        <w:t>Míra hrubé investice nefinančních podniků je definována jako tvorba hrubého fixního děleno hrubou přidanou hodnotou. Tento poměr souvisí s investicemi nefinančních podniků do dlouhodobého majetku (budovy, stroje atd.) A přidanou hodnotou vytvořenou během výrobního procesu. Nefinanční korporace zahrnuje všechny soukromé a veřejné korporátní podniky, které vyrábějí zboží nebo poskytují na trhu nefinanční služby</w:t>
      </w:r>
      <w:r w:rsidR="00EF34DF" w:rsidRPr="00E54D02">
        <w:t xml:space="preserve"> dle metodiky ESA 2010. </w:t>
      </w:r>
      <w:r w:rsidRPr="00E54D02">
        <w:t xml:space="preserve"> Údaje jsou vyjádřeny v procentech, v sezonně očištěné i sezónně a kalendářně očištěné formě. </w:t>
      </w:r>
      <w:proofErr w:type="gramStart"/>
      <w:r w:rsidRPr="00E54D02">
        <w:t>čisté</w:t>
      </w:r>
      <w:proofErr w:type="gramEnd"/>
      <w:r w:rsidRPr="00E54D02">
        <w:t xml:space="preserve"> míry investic jako hrubá míra investic minus míra odpisů. (Gutiérrez &amp; Philippon, 2016)</w:t>
      </w:r>
    </w:p>
    <w:p w:rsidR="002714E8" w:rsidRPr="00E54D02" w:rsidRDefault="002714E8" w:rsidP="00E54D02">
      <w:pPr>
        <w:shd w:val="clear" w:color="auto" w:fill="FFFFFF"/>
        <w:spacing w:after="360" w:line="360" w:lineRule="auto"/>
        <w:jc w:val="both"/>
        <w:rPr>
          <w:color w:val="333333"/>
          <w:lang w:val="en-GB" w:eastAsia="en-GB"/>
        </w:rPr>
      </w:pPr>
      <w:r w:rsidRPr="00E54D02">
        <w:rPr>
          <w:color w:val="333333"/>
          <w:lang w:val="en-GB" w:eastAsia="en-GB"/>
        </w:rPr>
        <w:t xml:space="preserve">Hrubá míra </w:t>
      </w:r>
      <w:proofErr w:type="gramStart"/>
      <w:r w:rsidRPr="00E54D02">
        <w:rPr>
          <w:color w:val="333333"/>
          <w:lang w:val="en-GB" w:eastAsia="en-GB"/>
        </w:rPr>
        <w:t>investic  (</w:t>
      </w:r>
      <w:proofErr w:type="gramEnd"/>
      <w:r w:rsidRPr="00E54D02">
        <w:rPr>
          <w:color w:val="333333"/>
          <w:lang w:val="en-GB" w:eastAsia="en-GB"/>
        </w:rPr>
        <w:t xml:space="preserve">GIR)   =   </w:t>
      </w:r>
      <m:oMath>
        <m:r>
          <w:rPr>
            <w:rFonts w:ascii="Cambria Math" w:hAnsi="Cambria Math"/>
            <w:color w:val="333333"/>
            <w:lang w:val="en-GB" w:eastAsia="en-GB"/>
          </w:rPr>
          <m:t xml:space="preserve"> </m:t>
        </m:r>
        <m:f>
          <m:fPr>
            <m:ctrlPr>
              <w:rPr>
                <w:rFonts w:ascii="Cambria Math" w:hAnsi="Cambria Math"/>
                <w:i/>
              </w:rPr>
            </m:ctrlPr>
          </m:fPr>
          <m:num>
            <m:r>
              <w:rPr>
                <w:rFonts w:ascii="Cambria Math" w:hAnsi="Cambria Math"/>
              </w:rPr>
              <m:t>tvorba hrubého fixního kapitálu (THFK)</m:t>
            </m:r>
          </m:num>
          <m:den>
            <m:r>
              <w:rPr>
                <w:rFonts w:ascii="Cambria Math" w:hAnsi="Cambria Math"/>
              </w:rPr>
              <m:t xml:space="preserve">  Hruba přidaná hodnota  (HPH)</m:t>
            </m:r>
          </m:den>
        </m:f>
      </m:oMath>
      <w:r w:rsidRPr="00E54D02">
        <w:rPr>
          <w:color w:val="333333"/>
          <w:lang w:val="en-GB" w:eastAsia="en-GB"/>
        </w:rPr>
        <w:t xml:space="preserve">   </w:t>
      </w:r>
    </w:p>
    <w:p w:rsidR="001453A5" w:rsidRPr="00E54D02" w:rsidRDefault="005E4591" w:rsidP="00E54D02">
      <w:pPr>
        <w:shd w:val="clear" w:color="auto" w:fill="FFFFFF"/>
        <w:spacing w:after="360" w:line="360" w:lineRule="auto"/>
        <w:rPr>
          <w:b/>
        </w:rPr>
      </w:pPr>
      <w:r w:rsidRPr="00E54D02">
        <w:t xml:space="preserve"> </w:t>
      </w:r>
      <w:r w:rsidR="00CB76CA" w:rsidRPr="00E54D02">
        <w:rPr>
          <w:b/>
        </w:rPr>
        <w:t>E</w:t>
      </w:r>
      <w:r w:rsidR="001453A5" w:rsidRPr="00E54D02">
        <w:rPr>
          <w:b/>
        </w:rPr>
        <w:t xml:space="preserve">fektivnosti investic </w:t>
      </w:r>
      <w:r w:rsidR="00E33F9E" w:rsidRPr="00E54D02">
        <w:rPr>
          <w:b/>
        </w:rPr>
        <w:t xml:space="preserve"> </w:t>
      </w:r>
      <w:r w:rsidR="001453A5" w:rsidRPr="00E54D02">
        <w:rPr>
          <w:b/>
        </w:rPr>
        <w:t>(Incremental Capital Output Ratio – ICOR).</w:t>
      </w:r>
    </w:p>
    <w:p w:rsidR="001453A5" w:rsidRPr="00E54D02" w:rsidRDefault="007D4DD7" w:rsidP="00E54D02">
      <w:pPr>
        <w:shd w:val="clear" w:color="auto" w:fill="FFFFFF"/>
        <w:spacing w:after="360" w:line="360" w:lineRule="auto"/>
      </w:pPr>
      <w:r w:rsidRPr="00E54D02">
        <w:t>Podstata tohoto ukazatele spočívá v tom, že měří přírůstek kapitálu, který je nutný k výrobě určité dodatečné hodnoty produkce. Přitažlivost to</w:t>
      </w:r>
      <w:r w:rsidR="006069BC" w:rsidRPr="00E54D02">
        <w:t xml:space="preserve">hoto ukazatele je v tom, že neměří pouze zásobu investic. </w:t>
      </w:r>
      <w:r w:rsidR="00D70982" w:rsidRPr="00E54D02">
        <w:t xml:space="preserve">Valach (2011)  využíval při své analýze tentoko ukazatel, kdy Porovnává se míra investic s vývojemefektivnosti </w:t>
      </w:r>
      <w:r w:rsidR="009E57EE" w:rsidRPr="00E54D02">
        <w:t>investic a s vývojem míry úspor tzn. THFK / ∆</w:t>
      </w:r>
      <w:r w:rsidR="00E33F9E" w:rsidRPr="00E54D02">
        <w:t>HDP</w:t>
      </w:r>
    </w:p>
    <w:p w:rsidR="006069BC" w:rsidRPr="00E54D02" w:rsidRDefault="006069BC" w:rsidP="00E54D02">
      <w:pPr>
        <w:shd w:val="clear" w:color="auto" w:fill="FFFFFF"/>
        <w:spacing w:after="360" w:line="360" w:lineRule="auto"/>
        <w:jc w:val="both"/>
        <w:rPr>
          <w:color w:val="333333"/>
          <w:lang w:val="en-GB" w:eastAsia="en-GB"/>
        </w:rPr>
      </w:pPr>
      <w:r w:rsidRPr="00E54D02">
        <w:rPr>
          <w:color w:val="333333"/>
          <w:lang w:val="en-GB" w:eastAsia="en-GB"/>
        </w:rPr>
        <w:t xml:space="preserve">Hrubá míra </w:t>
      </w:r>
      <w:proofErr w:type="gramStart"/>
      <w:r w:rsidRPr="00E54D02">
        <w:rPr>
          <w:color w:val="333333"/>
          <w:lang w:val="en-GB" w:eastAsia="en-GB"/>
        </w:rPr>
        <w:t>investic  (</w:t>
      </w:r>
      <w:proofErr w:type="gramEnd"/>
      <w:r w:rsidRPr="00E54D02">
        <w:rPr>
          <w:color w:val="333333"/>
          <w:lang w:val="en-GB" w:eastAsia="en-GB"/>
        </w:rPr>
        <w:t xml:space="preserve">GIR)   =   </w:t>
      </w:r>
      <m:oMath>
        <m:r>
          <w:rPr>
            <w:rFonts w:ascii="Cambria Math" w:hAnsi="Cambria Math"/>
            <w:color w:val="333333"/>
            <w:lang w:val="en-GB" w:eastAsia="en-GB"/>
          </w:rPr>
          <m:t xml:space="preserve"> </m:t>
        </m:r>
        <m:f>
          <m:fPr>
            <m:ctrlPr>
              <w:rPr>
                <w:rFonts w:ascii="Cambria Math" w:hAnsi="Cambria Math"/>
                <w:i/>
              </w:rPr>
            </m:ctrlPr>
          </m:fPr>
          <m:num>
            <m:r>
              <w:rPr>
                <w:rFonts w:ascii="Cambria Math" w:hAnsi="Cambria Math"/>
              </w:rPr>
              <m:t xml:space="preserve">investice </m:t>
            </m:r>
          </m:num>
          <m:den>
            <m:r>
              <w:rPr>
                <w:rFonts w:ascii="Cambria Math" w:hAnsi="Cambria Math"/>
              </w:rPr>
              <m:t>∆ HDP</m:t>
            </m:r>
          </m:den>
        </m:f>
      </m:oMath>
      <w:r w:rsidRPr="00E54D02">
        <w:rPr>
          <w:color w:val="333333"/>
          <w:lang w:val="en-GB" w:eastAsia="en-GB"/>
        </w:rPr>
        <w:t xml:space="preserve">   </w:t>
      </w:r>
    </w:p>
    <w:p w:rsidR="00E33F9E" w:rsidRPr="00E54D02" w:rsidRDefault="00E33F9E" w:rsidP="00E54D02">
      <w:pPr>
        <w:spacing w:after="120" w:line="360" w:lineRule="auto"/>
        <w:jc w:val="both"/>
        <w:rPr>
          <w:b/>
          <w:bCs/>
        </w:rPr>
      </w:pPr>
      <w:r w:rsidRPr="00E54D02">
        <w:rPr>
          <w:b/>
          <w:bCs/>
        </w:rPr>
        <w:t>Jednotkové pracovní náklady  (JPN)</w:t>
      </w:r>
    </w:p>
    <w:p w:rsidR="003378DA" w:rsidRPr="00E54D02" w:rsidRDefault="00CE7FD4" w:rsidP="00E54D02">
      <w:pPr>
        <w:spacing w:after="120" w:line="360" w:lineRule="auto"/>
        <w:jc w:val="both"/>
      </w:pPr>
      <w:r w:rsidRPr="00E54D02">
        <w:lastRenderedPageBreak/>
        <w:t>Jednotkové pracovní náklady  měří průměrné náklady práce na jednotku produkce či výkonu.</w:t>
      </w:r>
      <w:r w:rsidR="00D74456" w:rsidRPr="00E54D02">
        <w:t xml:space="preserve"> Dle OECD Jnotkové pracovní náklady měří průměrné náklady práce na jednotku produkce, vypočítané jako poměr celkových nákladů práce ke skutečné produkci.</w:t>
      </w:r>
    </w:p>
    <w:p w:rsidR="008552B9" w:rsidRPr="00E54D02" w:rsidRDefault="00CE7FD4" w:rsidP="00E54D02">
      <w:pPr>
        <w:spacing w:after="120" w:line="360" w:lineRule="auto"/>
        <w:jc w:val="both"/>
      </w:pPr>
      <w:r w:rsidRPr="00E54D02">
        <w:t>Tyto náklady představují vztah mezi  náklady práce v produkovaných výstupech a produktivitu práce</w:t>
      </w:r>
      <w:r w:rsidR="008552B9" w:rsidRPr="00E54D02">
        <w:t>.  Jejich růst často tlačí výrobce a producenty k zvyšování cen (Giovannini, 2010).</w:t>
      </w:r>
      <w:r w:rsidR="008552B9" w:rsidRPr="00E54D02">
        <w:rPr>
          <w:color w:val="333333"/>
          <w:lang w:val="en-GB" w:eastAsia="en-GB"/>
        </w:rPr>
        <w:t xml:space="preserve"> Tento doplňkový ukazatel </w:t>
      </w:r>
      <w:proofErr w:type="gramStart"/>
      <w:r w:rsidR="008552B9" w:rsidRPr="00E54D02">
        <w:rPr>
          <w:color w:val="333333"/>
          <w:lang w:val="en-GB" w:eastAsia="en-GB"/>
        </w:rPr>
        <w:t>za  ekonomiku</w:t>
      </w:r>
      <w:proofErr w:type="gramEnd"/>
      <w:r w:rsidR="008552B9" w:rsidRPr="00E54D02">
        <w:rPr>
          <w:color w:val="333333"/>
          <w:lang w:val="en-GB" w:eastAsia="en-GB"/>
        </w:rPr>
        <w:t xml:space="preserve"> a jako takový je používán poměrně často  při hodnocení ekonomického vývoje jednotlivých zemí a uvádí se v kontextu vývoje ekonomiky či mzdových nákladů.   </w:t>
      </w:r>
      <w:r w:rsidR="008552B9" w:rsidRPr="00E54D02">
        <w:t xml:space="preserve">Celkové  náklady na zaměstnance tvoří dvě základní položky – náhrady zaměstnancům a ostatní náhrady. Náhrady zaměstnancům </w:t>
      </w:r>
      <w:r w:rsidR="009C4697" w:rsidRPr="00E54D02">
        <w:t xml:space="preserve">jsou tvořeny </w:t>
      </w:r>
      <w:r w:rsidR="008552B9" w:rsidRPr="00E54D02">
        <w:t>mzd</w:t>
      </w:r>
      <w:r w:rsidR="009C4697" w:rsidRPr="00E54D02">
        <w:t xml:space="preserve">ami, </w:t>
      </w:r>
      <w:r w:rsidR="008552B9" w:rsidRPr="00E54D02">
        <w:t>platy a sociální příspěvky zaměstnavatelů na sociální zabezpečení. Do ostatních nákladů se zahrnují náklady na vzdělávání  zaměstnanců  (Kislingerová, 2008)</w:t>
      </w:r>
      <w:r w:rsidR="009C4697" w:rsidRPr="00E54D02">
        <w:t>.</w:t>
      </w:r>
    </w:p>
    <w:p w:rsidR="009C4697" w:rsidRPr="00E54D02" w:rsidRDefault="009C4697" w:rsidP="00E54D02">
      <w:pPr>
        <w:spacing w:after="120" w:line="360" w:lineRule="auto"/>
        <w:jc w:val="both"/>
      </w:pPr>
      <w:r w:rsidRPr="00E54D02">
        <w:t xml:space="preserve">Obecně  se ukazatel pracovních jednotkových nákladů vyjadřuje v nominální podobě  poměřující výši náhrad zaměstnancům k HDP v běžných cenách (Rojíček, 2016). </w:t>
      </w:r>
      <w:r w:rsidR="00D74456" w:rsidRPr="00E54D02">
        <w:t xml:space="preserve"> Nominální jednotkové náklady práce podléhají obecnému růstu cen napříč ekonomikou, protože čitatel odráží nominální náklady práce. K odstranění tohoto problému se často používají realné jednotkové pracovní náklady.  K výpočtu se zde využívá </w:t>
      </w:r>
      <w:r w:rsidRPr="00E54D02">
        <w:t xml:space="preserve"> vyjádření</w:t>
      </w:r>
      <w:r w:rsidR="00D74456" w:rsidRPr="00E54D02">
        <w:t xml:space="preserve"> HDP</w:t>
      </w:r>
      <w:r w:rsidRPr="00E54D02">
        <w:t xml:space="preserve"> ve stálýc</w:t>
      </w:r>
      <w:r w:rsidR="00D74456" w:rsidRPr="00E54D02">
        <w:t xml:space="preserve">h cených cenách tzn. reálného HDP a velikost náhrad zaměstnanců deflovat pomocí indexu spotřebitelských cen. </w:t>
      </w:r>
    </w:p>
    <w:p w:rsidR="00D74456" w:rsidRPr="00E54D02" w:rsidRDefault="00D74456" w:rsidP="00E54D02">
      <w:pPr>
        <w:shd w:val="clear" w:color="auto" w:fill="FFFFFF"/>
        <w:spacing w:after="360" w:line="360" w:lineRule="auto"/>
        <w:rPr>
          <w:color w:val="333333"/>
          <w:lang w:val="en-GB" w:eastAsia="en-GB"/>
        </w:rPr>
      </w:pPr>
      <w:r w:rsidRPr="00E54D02">
        <w:rPr>
          <w:color w:val="333333"/>
          <w:lang w:val="en-GB" w:eastAsia="en-GB"/>
        </w:rPr>
        <w:t xml:space="preserve">ULC = celkové skutečné náklady </w:t>
      </w:r>
      <w:proofErr w:type="gramStart"/>
      <w:r w:rsidRPr="00E54D02">
        <w:rPr>
          <w:color w:val="333333"/>
          <w:lang w:val="en-GB" w:eastAsia="en-GB"/>
        </w:rPr>
        <w:t>na</w:t>
      </w:r>
      <w:proofErr w:type="gramEnd"/>
      <w:r w:rsidRPr="00E54D02">
        <w:rPr>
          <w:color w:val="333333"/>
          <w:lang w:val="en-GB" w:eastAsia="en-GB"/>
        </w:rPr>
        <w:t xml:space="preserve"> zaměstnance / skutečná produktivita práce</w:t>
      </w:r>
    </w:p>
    <w:p w:rsidR="00A0265C" w:rsidRPr="00E54D02" w:rsidRDefault="00A0265C" w:rsidP="00E54D02">
      <w:pPr>
        <w:shd w:val="clear" w:color="auto" w:fill="FFFFFF"/>
        <w:spacing w:after="360" w:line="360" w:lineRule="auto"/>
        <w:rPr>
          <w:b/>
          <w:color w:val="333333"/>
          <w:lang w:val="en-GB" w:eastAsia="en-GB"/>
        </w:rPr>
      </w:pPr>
    </w:p>
    <w:p w:rsidR="00CB76CA" w:rsidRPr="00E54D02" w:rsidRDefault="00366978" w:rsidP="00E54D02">
      <w:pPr>
        <w:pStyle w:val="Odstavecseseznamem"/>
        <w:numPr>
          <w:ilvl w:val="2"/>
          <w:numId w:val="2"/>
        </w:numPr>
        <w:shd w:val="clear" w:color="auto" w:fill="FFFFFF"/>
        <w:spacing w:after="360" w:line="360" w:lineRule="auto"/>
        <w:rPr>
          <w:rFonts w:ascii="Times New Roman" w:hAnsi="Times New Roman" w:cs="Times New Roman"/>
          <w:b/>
          <w:color w:val="333333"/>
          <w:sz w:val="24"/>
          <w:szCs w:val="24"/>
          <w:lang w:val="en-GB" w:eastAsia="en-GB"/>
        </w:rPr>
      </w:pPr>
      <w:r w:rsidRPr="00E54D02">
        <w:rPr>
          <w:rFonts w:ascii="Times New Roman" w:hAnsi="Times New Roman" w:cs="Times New Roman"/>
          <w:b/>
          <w:color w:val="333333"/>
          <w:sz w:val="24"/>
          <w:szCs w:val="24"/>
          <w:lang w:val="en-GB" w:eastAsia="en-GB"/>
        </w:rPr>
        <w:t>Faktory ovlivň</w:t>
      </w:r>
      <w:r w:rsidR="00CB76CA" w:rsidRPr="00E54D02">
        <w:rPr>
          <w:rFonts w:ascii="Times New Roman" w:hAnsi="Times New Roman" w:cs="Times New Roman"/>
          <w:b/>
          <w:color w:val="333333"/>
          <w:sz w:val="24"/>
          <w:szCs w:val="24"/>
          <w:lang w:val="en-GB" w:eastAsia="en-GB"/>
        </w:rPr>
        <w:t>ující produktivitu</w:t>
      </w:r>
    </w:p>
    <w:p w:rsidR="00756A93" w:rsidRPr="00E54D02" w:rsidRDefault="00E9550B" w:rsidP="00E54D02">
      <w:pPr>
        <w:shd w:val="clear" w:color="auto" w:fill="FFFFFF"/>
        <w:spacing w:after="360" w:line="360" w:lineRule="auto"/>
        <w:rPr>
          <w:color w:val="333333"/>
          <w:lang w:val="en-GB" w:eastAsia="en-GB"/>
        </w:rPr>
      </w:pPr>
      <w:r w:rsidRPr="00E54D02">
        <w:rPr>
          <w:color w:val="333333"/>
          <w:lang w:val="en-GB" w:eastAsia="en-GB"/>
        </w:rPr>
        <w:t xml:space="preserve">Faktory, které ovlivňují produktivu z podnikového či národního pohledu můžeme rozdělit </w:t>
      </w:r>
      <w:proofErr w:type="gramStart"/>
      <w:r w:rsidRPr="00E54D02">
        <w:rPr>
          <w:color w:val="333333"/>
          <w:lang w:val="en-GB" w:eastAsia="en-GB"/>
        </w:rPr>
        <w:t>na</w:t>
      </w:r>
      <w:proofErr w:type="gramEnd"/>
      <w:r w:rsidRPr="00E54D02">
        <w:rPr>
          <w:color w:val="333333"/>
          <w:lang w:val="en-GB" w:eastAsia="en-GB"/>
        </w:rPr>
        <w:t xml:space="preserve"> externí a interní. </w:t>
      </w:r>
      <w:r w:rsidR="009B52E9" w:rsidRPr="00E54D02">
        <w:rPr>
          <w:color w:val="333333"/>
          <w:lang w:val="en-GB" w:eastAsia="en-GB"/>
        </w:rPr>
        <w:t xml:space="preserve"> </w:t>
      </w:r>
      <w:r w:rsidR="00756A93" w:rsidRPr="00E54D02">
        <w:rPr>
          <w:color w:val="333333"/>
          <w:lang w:val="en-GB" w:eastAsia="en-GB"/>
        </w:rPr>
        <w:t xml:space="preserve">Interní factory působí přímo uvnitř ekonomiky </w:t>
      </w:r>
      <w:proofErr w:type="gramStart"/>
      <w:r w:rsidR="00756A93" w:rsidRPr="00E54D02">
        <w:rPr>
          <w:color w:val="333333"/>
          <w:lang w:val="en-GB" w:eastAsia="en-GB"/>
        </w:rPr>
        <w:t>či  uvnitř</w:t>
      </w:r>
      <w:proofErr w:type="gramEnd"/>
      <w:r w:rsidR="00756A93" w:rsidRPr="00E54D02">
        <w:rPr>
          <w:color w:val="333333"/>
          <w:lang w:val="en-GB" w:eastAsia="en-GB"/>
        </w:rPr>
        <w:t xml:space="preserve"> podniku. Externí factory působí mimo ekonomiku či vně podniku</w:t>
      </w:r>
      <w:r w:rsidR="007D5E6A" w:rsidRPr="00E54D02">
        <w:rPr>
          <w:color w:val="333333"/>
          <w:lang w:val="en-GB" w:eastAsia="en-GB"/>
        </w:rPr>
        <w:t>.</w:t>
      </w:r>
    </w:p>
    <w:p w:rsidR="00756A93" w:rsidRPr="00E54D02" w:rsidRDefault="00756A93" w:rsidP="00E54D02">
      <w:pPr>
        <w:shd w:val="clear" w:color="auto" w:fill="FFFFFF"/>
        <w:spacing w:after="360" w:line="360" w:lineRule="auto"/>
        <w:rPr>
          <w:color w:val="333333"/>
          <w:lang w:val="en-GB" w:eastAsia="en-GB"/>
        </w:rPr>
      </w:pPr>
      <w:r w:rsidRPr="00E54D02">
        <w:rPr>
          <w:color w:val="333333"/>
          <w:lang w:val="en-GB" w:eastAsia="en-GB"/>
        </w:rPr>
        <w:t>Mezi</w:t>
      </w:r>
      <w:r w:rsidR="00CB76CA" w:rsidRPr="00E54D02">
        <w:rPr>
          <w:color w:val="333333"/>
          <w:lang w:val="en-GB" w:eastAsia="en-GB"/>
        </w:rPr>
        <w:t xml:space="preserve"> podnikové interní fak</w:t>
      </w:r>
      <w:r w:rsidRPr="00E54D02">
        <w:rPr>
          <w:color w:val="333333"/>
          <w:lang w:val="en-GB" w:eastAsia="en-GB"/>
        </w:rPr>
        <w:t>tory můžeme zařadit:</w:t>
      </w:r>
    </w:p>
    <w:p w:rsidR="00756A93" w:rsidRPr="00E54D02" w:rsidRDefault="00756A93" w:rsidP="00E54D02">
      <w:pPr>
        <w:pStyle w:val="Odstavecseseznamem"/>
        <w:numPr>
          <w:ilvl w:val="0"/>
          <w:numId w:val="5"/>
        </w:numPr>
        <w:shd w:val="clear" w:color="auto" w:fill="FFFFFF"/>
        <w:spacing w:after="360" w:line="360" w:lineRule="auto"/>
        <w:rPr>
          <w:rFonts w:ascii="Times New Roman" w:eastAsia="Times New Roman" w:hAnsi="Times New Roman" w:cs="Times New Roman"/>
          <w:color w:val="333333"/>
          <w:sz w:val="24"/>
          <w:szCs w:val="24"/>
          <w:lang w:val="en-GB" w:eastAsia="en-GB"/>
        </w:rPr>
      </w:pPr>
      <w:r w:rsidRPr="00E54D02">
        <w:rPr>
          <w:rFonts w:ascii="Times New Roman" w:eastAsia="Times New Roman" w:hAnsi="Times New Roman" w:cs="Times New Roman"/>
          <w:color w:val="333333"/>
          <w:sz w:val="24"/>
          <w:szCs w:val="24"/>
          <w:lang w:val="en-GB" w:eastAsia="en-GB"/>
        </w:rPr>
        <w:t>Organizaci  práce v podniku</w:t>
      </w:r>
    </w:p>
    <w:p w:rsidR="00756A93" w:rsidRPr="00E54D02" w:rsidRDefault="00756A93" w:rsidP="00E54D02">
      <w:pPr>
        <w:pStyle w:val="Odstavecseseznamem"/>
        <w:numPr>
          <w:ilvl w:val="0"/>
          <w:numId w:val="5"/>
        </w:numPr>
        <w:shd w:val="clear" w:color="auto" w:fill="FFFFFF"/>
        <w:spacing w:after="360" w:line="360" w:lineRule="auto"/>
        <w:rPr>
          <w:rFonts w:ascii="Times New Roman" w:eastAsia="Times New Roman" w:hAnsi="Times New Roman" w:cs="Times New Roman"/>
          <w:color w:val="333333"/>
          <w:sz w:val="24"/>
          <w:szCs w:val="24"/>
          <w:lang w:val="en-GB" w:eastAsia="en-GB"/>
        </w:rPr>
      </w:pPr>
      <w:r w:rsidRPr="00E54D02">
        <w:rPr>
          <w:rFonts w:ascii="Times New Roman" w:eastAsia="Times New Roman" w:hAnsi="Times New Roman" w:cs="Times New Roman"/>
          <w:color w:val="333333"/>
          <w:sz w:val="24"/>
          <w:szCs w:val="24"/>
          <w:lang w:val="en-GB" w:eastAsia="en-GB"/>
        </w:rPr>
        <w:t>Kvalitu a technologickou vyspělost strojů</w:t>
      </w:r>
    </w:p>
    <w:p w:rsidR="00756A93" w:rsidRPr="00E54D02" w:rsidRDefault="00756A93" w:rsidP="00E54D02">
      <w:pPr>
        <w:pStyle w:val="Odstavecseseznamem"/>
        <w:numPr>
          <w:ilvl w:val="0"/>
          <w:numId w:val="5"/>
        </w:numPr>
        <w:shd w:val="clear" w:color="auto" w:fill="FFFFFF"/>
        <w:spacing w:after="360" w:line="360" w:lineRule="auto"/>
        <w:rPr>
          <w:rFonts w:ascii="Times New Roman" w:eastAsia="Times New Roman" w:hAnsi="Times New Roman" w:cs="Times New Roman"/>
          <w:color w:val="333333"/>
          <w:sz w:val="24"/>
          <w:szCs w:val="24"/>
          <w:lang w:val="en-GB" w:eastAsia="en-GB"/>
        </w:rPr>
      </w:pPr>
      <w:r w:rsidRPr="00E54D02">
        <w:rPr>
          <w:rFonts w:ascii="Times New Roman" w:eastAsia="Times New Roman" w:hAnsi="Times New Roman" w:cs="Times New Roman"/>
          <w:color w:val="333333"/>
          <w:sz w:val="24"/>
          <w:szCs w:val="24"/>
          <w:lang w:val="en-GB" w:eastAsia="en-GB"/>
        </w:rPr>
        <w:t>Inovační aktivitu podniku  (</w:t>
      </w:r>
      <w:r w:rsidRPr="00E54D02">
        <w:rPr>
          <w:rFonts w:ascii="Times New Roman" w:hAnsi="Times New Roman" w:cs="Times New Roman"/>
          <w:sz w:val="24"/>
          <w:szCs w:val="24"/>
        </w:rPr>
        <w:t>Zhao et al., 2021)</w:t>
      </w:r>
    </w:p>
    <w:p w:rsidR="00756A93" w:rsidRPr="00E54D02" w:rsidRDefault="00756A93" w:rsidP="00E54D02">
      <w:pPr>
        <w:pStyle w:val="Odstavecseseznamem"/>
        <w:numPr>
          <w:ilvl w:val="0"/>
          <w:numId w:val="5"/>
        </w:numPr>
        <w:shd w:val="clear" w:color="auto" w:fill="FFFFFF"/>
        <w:spacing w:after="360" w:line="360" w:lineRule="auto"/>
        <w:rPr>
          <w:rFonts w:ascii="Times New Roman" w:eastAsia="Times New Roman" w:hAnsi="Times New Roman" w:cs="Times New Roman"/>
          <w:color w:val="333333"/>
          <w:sz w:val="24"/>
          <w:szCs w:val="24"/>
          <w:lang w:val="en-GB" w:eastAsia="en-GB"/>
        </w:rPr>
      </w:pPr>
      <w:r w:rsidRPr="00E54D02">
        <w:rPr>
          <w:rFonts w:ascii="Times New Roman" w:eastAsia="Times New Roman" w:hAnsi="Times New Roman" w:cs="Times New Roman"/>
          <w:color w:val="333333"/>
          <w:sz w:val="24"/>
          <w:szCs w:val="24"/>
          <w:lang w:val="en-GB" w:eastAsia="en-GB"/>
        </w:rPr>
        <w:lastRenderedPageBreak/>
        <w:t xml:space="preserve">Míru schopností zaměstnanců </w:t>
      </w:r>
    </w:p>
    <w:p w:rsidR="00756A93" w:rsidRPr="00E54D02" w:rsidRDefault="00756A93" w:rsidP="00E54D02">
      <w:pPr>
        <w:pStyle w:val="Odstavecseseznamem"/>
        <w:numPr>
          <w:ilvl w:val="0"/>
          <w:numId w:val="5"/>
        </w:numPr>
        <w:shd w:val="clear" w:color="auto" w:fill="FFFFFF"/>
        <w:spacing w:after="360" w:line="360" w:lineRule="auto"/>
        <w:jc w:val="both"/>
        <w:rPr>
          <w:rFonts w:ascii="Times New Roman" w:eastAsia="Times New Roman" w:hAnsi="Times New Roman" w:cs="Times New Roman"/>
          <w:color w:val="333333"/>
          <w:sz w:val="24"/>
          <w:szCs w:val="24"/>
          <w:lang w:val="en-GB" w:eastAsia="en-GB"/>
        </w:rPr>
      </w:pPr>
      <w:r w:rsidRPr="00E54D02">
        <w:rPr>
          <w:rFonts w:ascii="Times New Roman" w:eastAsia="Times New Roman" w:hAnsi="Times New Roman" w:cs="Times New Roman"/>
          <w:color w:val="333333"/>
          <w:sz w:val="24"/>
          <w:szCs w:val="24"/>
          <w:lang w:val="en-GB" w:eastAsia="en-GB"/>
        </w:rPr>
        <w:t>Systém odměňování a hodnocení zaměstnanců (</w:t>
      </w:r>
      <w:r w:rsidRPr="00E54D02">
        <w:rPr>
          <w:rFonts w:ascii="Times New Roman" w:hAnsi="Times New Roman" w:cs="Times New Roman"/>
          <w:sz w:val="24"/>
          <w:szCs w:val="24"/>
        </w:rPr>
        <w:t>Hučka a kolektiv (2011)</w:t>
      </w:r>
    </w:p>
    <w:p w:rsidR="00E9550B" w:rsidRPr="00E54D02" w:rsidRDefault="007A220C" w:rsidP="00E54D02">
      <w:pPr>
        <w:shd w:val="clear" w:color="auto" w:fill="FFFFFF"/>
        <w:spacing w:after="360" w:line="360" w:lineRule="auto"/>
        <w:jc w:val="both"/>
        <w:rPr>
          <w:color w:val="333333"/>
          <w:lang w:val="en-GB" w:eastAsia="en-GB"/>
        </w:rPr>
      </w:pPr>
      <w:r w:rsidRPr="00E54D02">
        <w:rPr>
          <w:color w:val="333333"/>
          <w:lang w:val="en-GB" w:eastAsia="en-GB"/>
        </w:rPr>
        <w:t xml:space="preserve">Dle </w:t>
      </w:r>
      <w:r w:rsidR="00756A93" w:rsidRPr="00E54D02">
        <w:rPr>
          <w:color w:val="333333"/>
          <w:lang w:val="en-GB" w:eastAsia="en-GB"/>
        </w:rPr>
        <w:t>Prokopenka</w:t>
      </w:r>
      <w:r w:rsidRPr="00E54D02">
        <w:rPr>
          <w:color w:val="333333"/>
          <w:lang w:val="en-GB" w:eastAsia="en-GB"/>
        </w:rPr>
        <w:t xml:space="preserve"> (1987) je </w:t>
      </w:r>
      <w:r w:rsidR="009B52E9" w:rsidRPr="00E54D02">
        <w:rPr>
          <w:color w:val="333333"/>
          <w:lang w:val="en-GB" w:eastAsia="en-GB"/>
        </w:rPr>
        <w:t>některé vnitřní faktory lze snadněji mě</w:t>
      </w:r>
      <w:r w:rsidRPr="00E54D02">
        <w:rPr>
          <w:color w:val="333333"/>
          <w:lang w:val="en-GB" w:eastAsia="en-GB"/>
        </w:rPr>
        <w:t>nit než jiné a z tohoto důvodu</w:t>
      </w:r>
      <w:r w:rsidR="009B52E9" w:rsidRPr="00E54D02">
        <w:rPr>
          <w:color w:val="333333"/>
          <w:lang w:val="en-GB" w:eastAsia="en-GB"/>
        </w:rPr>
        <w:t xml:space="preserve"> je užitečné je zařadit do dvou skupin: tvrdé (nelze snadno změnit) </w:t>
      </w:r>
      <w:proofErr w:type="gramStart"/>
      <w:r w:rsidR="009B52E9" w:rsidRPr="00E54D02">
        <w:rPr>
          <w:color w:val="333333"/>
          <w:lang w:val="en-GB" w:eastAsia="en-GB"/>
        </w:rPr>
        <w:t>a</w:t>
      </w:r>
      <w:proofErr w:type="gramEnd"/>
      <w:r w:rsidR="009B52E9" w:rsidRPr="00E54D02">
        <w:rPr>
          <w:color w:val="333333"/>
          <w:lang w:val="en-GB" w:eastAsia="en-GB"/>
        </w:rPr>
        <w:t xml:space="preserve"> měkké (snadno změnit). Mezi tvrdé faktory patří výrobky, technologie, vybavení a suroviny, zatímco mezi měkké faktory patří pracovní síla, organizační systémy a postupy, styly řízení a pracovní metody.</w:t>
      </w:r>
      <w:r w:rsidR="00756A93" w:rsidRPr="00E54D02">
        <w:rPr>
          <w:color w:val="333333"/>
          <w:lang w:val="en-GB" w:eastAsia="en-GB"/>
        </w:rPr>
        <w:t xml:space="preserve">  </w:t>
      </w:r>
    </w:p>
    <w:p w:rsidR="00301A64" w:rsidRPr="00E54D02" w:rsidRDefault="00A0265C" w:rsidP="00E54D02">
      <w:pPr>
        <w:pStyle w:val="Normlnweb"/>
        <w:shd w:val="clear" w:color="auto" w:fill="FFFFFF"/>
        <w:spacing w:line="360" w:lineRule="auto"/>
        <w:jc w:val="both"/>
        <w:rPr>
          <w:color w:val="000000"/>
          <w:shd w:val="clear" w:color="auto" w:fill="FFFFFF"/>
        </w:rPr>
      </w:pPr>
      <w:r w:rsidRPr="00E54D02">
        <w:rPr>
          <w:color w:val="333333"/>
        </w:rPr>
        <w:t>Mezi externí podnikové fak</w:t>
      </w:r>
      <w:r w:rsidR="00192E47" w:rsidRPr="00E54D02">
        <w:rPr>
          <w:color w:val="333333"/>
        </w:rPr>
        <w:t xml:space="preserve">tory </w:t>
      </w:r>
      <w:r w:rsidR="000268B9" w:rsidRPr="00E54D02">
        <w:rPr>
          <w:color w:val="000000"/>
        </w:rPr>
        <w:t xml:space="preserve">musí management podniku vždy vzít v úvahu při plánování a rozhodování, kdy následný efekt je možné </w:t>
      </w:r>
      <w:r w:rsidR="00236F9B" w:rsidRPr="00E54D02">
        <w:rPr>
          <w:color w:val="000000"/>
        </w:rPr>
        <w:t xml:space="preserve">často </w:t>
      </w:r>
      <w:r w:rsidR="000268B9" w:rsidRPr="00E54D02">
        <w:rPr>
          <w:color w:val="000000"/>
        </w:rPr>
        <w:t>najít v produktivitě.  </w:t>
      </w:r>
      <w:r w:rsidR="00236F9B" w:rsidRPr="00E54D02">
        <w:rPr>
          <w:color w:val="000000"/>
        </w:rPr>
        <w:t xml:space="preserve">Mezi tyto faktory patří stukturální změny v ekonomice, které často ovlivňují nejen národní, ale i podnikovou produktivitu. </w:t>
      </w:r>
      <w:r w:rsidR="00236F9B" w:rsidRPr="00E54D02">
        <w:rPr>
          <w:color w:val="000000"/>
          <w:shd w:val="clear" w:color="auto" w:fill="FFFFFF"/>
        </w:rPr>
        <w:t>V dlouhodobém horizontu je však tato interakce obousměrná. Mezi další vnější faktory j</w:t>
      </w:r>
      <w:r w:rsidR="00301A64" w:rsidRPr="00E54D02">
        <w:rPr>
          <w:color w:val="000000"/>
          <w:shd w:val="clear" w:color="auto" w:fill="FFFFFF"/>
        </w:rPr>
        <w:t xml:space="preserve">e nutné zahrnou vládní politiku </w:t>
      </w:r>
      <w:proofErr w:type="gramStart"/>
      <w:r w:rsidR="00301A64" w:rsidRPr="00E54D02">
        <w:rPr>
          <w:color w:val="000000"/>
          <w:shd w:val="clear" w:color="auto" w:fill="FFFFFF"/>
        </w:rPr>
        <w:t xml:space="preserve">a </w:t>
      </w:r>
      <w:r w:rsidR="00236F9B" w:rsidRPr="00E54D02">
        <w:rPr>
          <w:color w:val="000000"/>
          <w:shd w:val="clear" w:color="auto" w:fill="FFFFFF"/>
        </w:rPr>
        <w:t xml:space="preserve"> institucionální</w:t>
      </w:r>
      <w:proofErr w:type="gramEnd"/>
      <w:r w:rsidR="00301A64" w:rsidRPr="00E54D02">
        <w:rPr>
          <w:color w:val="000000"/>
          <w:shd w:val="clear" w:color="auto" w:fill="FFFFFF"/>
        </w:rPr>
        <w:t xml:space="preserve"> prostředí a </w:t>
      </w:r>
      <w:r w:rsidR="00236F9B" w:rsidRPr="00E54D02">
        <w:rPr>
          <w:color w:val="000000"/>
          <w:shd w:val="clear" w:color="auto" w:fill="FFFFFF"/>
        </w:rPr>
        <w:t>podnikatelské klima</w:t>
      </w:r>
      <w:r w:rsidR="00301A64" w:rsidRPr="00E54D02">
        <w:rPr>
          <w:color w:val="000000"/>
          <w:shd w:val="clear" w:color="auto" w:fill="FFFFFF"/>
        </w:rPr>
        <w:t>.</w:t>
      </w:r>
      <w:r w:rsidR="00301A64" w:rsidRPr="00E54D02">
        <w:t xml:space="preserve"> </w:t>
      </w:r>
      <w:r w:rsidR="00301A64" w:rsidRPr="00E54D02">
        <w:rPr>
          <w:color w:val="000000"/>
          <w:shd w:val="clear" w:color="auto" w:fill="FFFFFF"/>
        </w:rPr>
        <w:t>Vlády usilující o zvýšení růstu produktivity mohou zvýšit veřejné investice a stimulovat soukromé investice; zlepšit lidský kapitál; podpořit produktivitu firem, částečně prostřednictvím školení na pracovišti a modernizace manažerských schopností; zvýšit vystavení firem mezinárodnímu obchodu a zahraničním investicím; umožnit přesun zdrojů do produktivnějších odvětví; a usilovat o diverzifikaci výroby (</w:t>
      </w:r>
      <w:r w:rsidR="00301A64" w:rsidRPr="00E54D02">
        <w:rPr>
          <w:color w:val="333333"/>
        </w:rPr>
        <w:t>Dieppe, 2021)</w:t>
      </w:r>
      <w:r w:rsidR="00301A64" w:rsidRPr="00E54D02">
        <w:rPr>
          <w:color w:val="000000"/>
          <w:shd w:val="clear" w:color="auto" w:fill="FFFFFF"/>
        </w:rPr>
        <w:t xml:space="preserve">. </w:t>
      </w:r>
      <w:r w:rsidR="007D5E6A" w:rsidRPr="00E54D02">
        <w:rPr>
          <w:color w:val="000000"/>
          <w:shd w:val="clear" w:color="auto" w:fill="FFFFFF"/>
        </w:rPr>
        <w:t xml:space="preserve">Významnou roli může v rámci srování produktivity </w:t>
      </w:r>
      <w:proofErr w:type="gramStart"/>
      <w:r w:rsidR="007D5E6A" w:rsidRPr="00E54D02">
        <w:rPr>
          <w:color w:val="000000"/>
          <w:shd w:val="clear" w:color="auto" w:fill="FFFFFF"/>
        </w:rPr>
        <w:t>hrát  regulační</w:t>
      </w:r>
      <w:proofErr w:type="gramEnd"/>
      <w:r w:rsidR="007D5E6A" w:rsidRPr="00E54D02">
        <w:rPr>
          <w:color w:val="000000"/>
          <w:shd w:val="clear" w:color="auto" w:fill="FFFFFF"/>
        </w:rPr>
        <w:t xml:space="preserve"> opatření v jednotlivých státech. Tento vliv potvrdila studie  Escribá-Pérez a María José Murgui-García (2017), která se zabývala  účinkem intenzity regulace na změnu productivity, kdy ukázala, že malé bariéry v podnikání a nižší byrokratické náklady mají pozitivní dopad vliv na růst productivity v Evropských regionech.</w:t>
      </w:r>
    </w:p>
    <w:p w:rsidR="00663322" w:rsidRPr="00E54D02" w:rsidRDefault="00B8171D" w:rsidP="00E54D02">
      <w:pPr>
        <w:shd w:val="clear" w:color="auto" w:fill="FFFFFF"/>
        <w:spacing w:after="360" w:line="360" w:lineRule="auto"/>
        <w:rPr>
          <w:color w:val="333333"/>
          <w:lang w:val="en-GB" w:eastAsia="en-GB"/>
        </w:rPr>
      </w:pPr>
      <w:r w:rsidRPr="00E54D02">
        <w:rPr>
          <w:color w:val="000000"/>
          <w:shd w:val="clear" w:color="auto" w:fill="FFFFFF"/>
        </w:rPr>
        <w:t xml:space="preserve">Jedním ze </w:t>
      </w:r>
      <w:proofErr w:type="gramStart"/>
      <w:r w:rsidRPr="00E54D02">
        <w:rPr>
          <w:color w:val="000000"/>
          <w:shd w:val="clear" w:color="auto" w:fill="FFFFFF"/>
        </w:rPr>
        <w:t>zásadní</w:t>
      </w:r>
      <w:proofErr w:type="gramEnd"/>
      <w:r w:rsidRPr="00E54D02">
        <w:rPr>
          <w:color w:val="000000"/>
          <w:shd w:val="clear" w:color="auto" w:fill="FFFFFF"/>
        </w:rPr>
        <w:t xml:space="preserve"> faktorů, který v posledních deseti letech byl velmi zkoumán a to je vliv globalizace na produktivitu. </w:t>
      </w:r>
      <w:r w:rsidR="00AF0BAF" w:rsidRPr="00E54D02">
        <w:rPr>
          <w:color w:val="000000"/>
          <w:shd w:val="clear" w:color="auto" w:fill="FFFFFF"/>
        </w:rPr>
        <w:t xml:space="preserve">  Rozsah vlivu globalizace globalizace se mezi odvětvími značně liší. Studie Tomiura (2007) v japonské ekonomice definovala meziodvětvové rozdíly</w:t>
      </w:r>
      <w:r w:rsidR="00A3223B" w:rsidRPr="00E54D02">
        <w:rPr>
          <w:color w:val="000000"/>
          <w:shd w:val="clear" w:color="auto" w:fill="FFFFFF"/>
        </w:rPr>
        <w:t xml:space="preserve"> v produktivy,</w:t>
      </w:r>
      <w:r w:rsidR="00AF0BAF" w:rsidRPr="00E54D02">
        <w:rPr>
          <w:color w:val="000000"/>
          <w:shd w:val="clear" w:color="auto" w:fill="FFFFFF"/>
        </w:rPr>
        <w:t xml:space="preserve"> pokud porovnáme různé režimy globalizace.  Tyto režimi globalizace vycházíjí z toho jak firmy zahranicí při své ekonomické činnosti využívají. Je o firmy zajišťující outsourcing zahraničních dodavatelů, exportéry, firmy zabývající se přímými</w:t>
      </w:r>
      <w:r w:rsidR="00A3223B" w:rsidRPr="00E54D02">
        <w:rPr>
          <w:color w:val="000000"/>
          <w:shd w:val="clear" w:color="auto" w:fill="FFFFFF"/>
        </w:rPr>
        <w:t xml:space="preserve"> zahraničními investicemi atd.  </w:t>
      </w:r>
      <w:r w:rsidRPr="00E54D02">
        <w:rPr>
          <w:color w:val="000000"/>
          <w:shd w:val="clear" w:color="auto" w:fill="FFFFFF"/>
        </w:rPr>
        <w:t xml:space="preserve">Kromě přímých dopadů přeshraničních fúzí a akvizic existují také nepřímé dopady přímých zahraničních investic na hostitelskou ekonomiku; domácí firmy mohou těžit z přítomnosti zahraničních firem díky některým pozitivním externalitám plynoucím z </w:t>
      </w:r>
      <w:r w:rsidR="00CB76CA" w:rsidRPr="00E54D02">
        <w:rPr>
          <w:color w:val="000000"/>
          <w:shd w:val="clear" w:color="auto" w:fill="FFFFFF"/>
        </w:rPr>
        <w:t>příných zahraničních investic</w:t>
      </w:r>
      <w:r w:rsidRPr="00E54D02">
        <w:rPr>
          <w:color w:val="000000"/>
          <w:shd w:val="clear" w:color="auto" w:fill="FFFFFF"/>
        </w:rPr>
        <w:t xml:space="preserve"> a přítomnosti nadnárodních firem. Tyto pozitivní dopady se nazývají </w:t>
      </w:r>
      <w:r w:rsidRPr="00E54D02">
        <w:rPr>
          <w:color w:val="000000"/>
          <w:shd w:val="clear" w:color="auto" w:fill="FFFFFF"/>
        </w:rPr>
        <w:lastRenderedPageBreak/>
        <w:t xml:space="preserve">„efekty přelévání“. Koncepčně existují dva druhy efektů přelévání: přelévání v rámci odvětví a přelévání mezi </w:t>
      </w:r>
      <w:proofErr w:type="gramStart"/>
      <w:r w:rsidRPr="00E54D02">
        <w:rPr>
          <w:color w:val="000000"/>
          <w:shd w:val="clear" w:color="auto" w:fill="FFFFFF"/>
        </w:rPr>
        <w:t>odvětvími(Hayakawa</w:t>
      </w:r>
      <w:proofErr w:type="gramEnd"/>
      <w:r w:rsidRPr="00E54D02">
        <w:rPr>
          <w:color w:val="000000"/>
          <w:shd w:val="clear" w:color="auto" w:fill="FFFFFF"/>
        </w:rPr>
        <w:t xml:space="preserve"> et al., 2012).</w:t>
      </w:r>
      <w:r w:rsidR="00663322" w:rsidRPr="00E54D02">
        <w:rPr>
          <w:color w:val="333333"/>
          <w:lang w:val="en-GB" w:eastAsia="en-GB"/>
        </w:rPr>
        <w:t xml:space="preserve"> </w:t>
      </w:r>
    </w:p>
    <w:p w:rsidR="00663322" w:rsidRPr="00E54D02" w:rsidRDefault="00663322" w:rsidP="00E54D02">
      <w:pPr>
        <w:shd w:val="clear" w:color="auto" w:fill="FFFFFF"/>
        <w:spacing w:after="360" w:line="360" w:lineRule="auto"/>
        <w:rPr>
          <w:color w:val="333333"/>
          <w:lang w:val="en-GB" w:eastAsia="en-GB"/>
        </w:rPr>
      </w:pPr>
      <w:r w:rsidRPr="00E54D02">
        <w:rPr>
          <w:color w:val="333333"/>
          <w:lang w:val="en-GB" w:eastAsia="en-GB"/>
        </w:rPr>
        <w:t xml:space="preserve">V rámci globalizované ekonomiky se ukázal jako významný faktor vliv přesouvání zisků nadnarodních společností mimo místo, kde byl tento zisk vytvořen. </w:t>
      </w:r>
      <w:proofErr w:type="gramStart"/>
      <w:r w:rsidRPr="00E54D02">
        <w:rPr>
          <w:color w:val="333333"/>
          <w:lang w:val="en-GB" w:eastAsia="en-GB"/>
        </w:rPr>
        <w:t>Studie  Guvenen</w:t>
      </w:r>
      <w:proofErr w:type="gramEnd"/>
      <w:r w:rsidRPr="00E54D02">
        <w:rPr>
          <w:color w:val="333333"/>
          <w:lang w:val="en-GB" w:eastAsia="en-GB"/>
        </w:rPr>
        <w:t xml:space="preserve"> et al. (2017) na amerických nadnárodních podnicích ukázala negativní vliv na růstu produktivity pokud dochází těm přesunům a to především u podniků v průmyslových odvětvích.  Mezi další factor ve vztahu ke globalizované ekonomice lze zařadit improtování vstupů. Tento faktor protvridila </w:t>
      </w:r>
      <w:proofErr w:type="gramStart"/>
      <w:r w:rsidRPr="00E54D02">
        <w:rPr>
          <w:color w:val="333333"/>
          <w:lang w:val="en-GB" w:eastAsia="en-GB"/>
        </w:rPr>
        <w:t>studie  Helperna</w:t>
      </w:r>
      <w:proofErr w:type="gramEnd"/>
      <w:r w:rsidRPr="00E54D02">
        <w:rPr>
          <w:color w:val="333333"/>
          <w:lang w:val="en-GB" w:eastAsia="en-GB"/>
        </w:rPr>
        <w:t xml:space="preserve"> et al. (2015), která  zkoumala vliv importu na produktivitu  maďarských firem. Studie zjistila, že dovoz má významný a velký vliv </w:t>
      </w:r>
      <w:proofErr w:type="gramStart"/>
      <w:r w:rsidRPr="00E54D02">
        <w:rPr>
          <w:color w:val="333333"/>
          <w:lang w:val="en-GB" w:eastAsia="en-GB"/>
        </w:rPr>
        <w:t>na</w:t>
      </w:r>
      <w:proofErr w:type="gramEnd"/>
      <w:r w:rsidRPr="00E54D02">
        <w:rPr>
          <w:color w:val="333333"/>
          <w:lang w:val="en-GB" w:eastAsia="en-GB"/>
        </w:rPr>
        <w:t xml:space="preserve"> produktivitu firem, z čehož asi polovina je důsledkem nedokonalé náhrady mezi zahraničním a domácím zbožím. Zahraniční </w:t>
      </w:r>
      <w:proofErr w:type="gramStart"/>
      <w:r w:rsidRPr="00E54D02">
        <w:rPr>
          <w:color w:val="333333"/>
          <w:lang w:val="en-GB" w:eastAsia="en-GB"/>
        </w:rPr>
        <w:t>firmy  využívají</w:t>
      </w:r>
      <w:proofErr w:type="gramEnd"/>
      <w:r w:rsidRPr="00E54D02">
        <w:rPr>
          <w:color w:val="333333"/>
          <w:lang w:val="en-GB" w:eastAsia="en-GB"/>
        </w:rPr>
        <w:t xml:space="preserve"> dovoz efektivněji a platí nižší fixní dovozní náklady. </w:t>
      </w:r>
      <w:proofErr w:type="gramStart"/>
      <w:r w:rsidRPr="00E54D02">
        <w:rPr>
          <w:color w:val="333333"/>
          <w:lang w:val="en-GB" w:eastAsia="en-GB"/>
        </w:rPr>
        <w:t>Analýza  připisuje</w:t>
      </w:r>
      <w:proofErr w:type="gramEnd"/>
      <w:r w:rsidRPr="00E54D02">
        <w:rPr>
          <w:color w:val="333333"/>
          <w:lang w:val="en-GB" w:eastAsia="en-GB"/>
        </w:rPr>
        <w:t xml:space="preserve"> čtvrtinu růstu maďarské produktivity v letech 1993-2002 importovaným vstupům.</w:t>
      </w:r>
    </w:p>
    <w:p w:rsidR="008202ED" w:rsidRDefault="008202ED" w:rsidP="00E54D02">
      <w:pPr>
        <w:pStyle w:val="Normlnweb"/>
        <w:shd w:val="clear" w:color="auto" w:fill="FFFFFF"/>
        <w:spacing w:line="360" w:lineRule="auto"/>
        <w:jc w:val="both"/>
        <w:rPr>
          <w:color w:val="000000"/>
          <w:shd w:val="clear" w:color="auto" w:fill="FFFFFF"/>
        </w:rPr>
      </w:pPr>
      <w:r>
        <w:rPr>
          <w:color w:val="000000"/>
          <w:shd w:val="clear" w:color="auto" w:fill="FFFFFF"/>
        </w:rPr>
        <w:t>P</w:t>
      </w:r>
      <w:r w:rsidRPr="008202ED">
        <w:rPr>
          <w:color w:val="000000"/>
          <w:shd w:val="clear" w:color="auto" w:fill="FFFFFF"/>
        </w:rPr>
        <w:t xml:space="preserve">roduktivita je ovlivněna hospodářským cyklem a produktivita ovlivňuje hospodářský cyklus. </w:t>
      </w:r>
      <w:r w:rsidR="00127422">
        <w:t>Dle Macháčka (2001) hospodáfiské cykly mezi země</w:t>
      </w:r>
      <w:r w:rsidR="00127422">
        <w:t xml:space="preserve"> jsou chápány jak</w:t>
      </w:r>
      <w:r w:rsidR="00127422">
        <w:t xml:space="preserve">o optimální reakce ekonomických subjektů </w:t>
      </w:r>
      <w:proofErr w:type="gramStart"/>
      <w:r w:rsidR="00127422">
        <w:t>na</w:t>
      </w:r>
      <w:proofErr w:type="gramEnd"/>
      <w:r w:rsidR="00127422">
        <w:t xml:space="preserve"> šoky, které nejsou jen</w:t>
      </w:r>
      <w:r w:rsidR="00127422">
        <w:t xml:space="preserve"> poptávkového, ale také nabídkového charakteru</w:t>
      </w:r>
      <w:r w:rsidR="00127422">
        <w:t xml:space="preserve">.  </w:t>
      </w:r>
      <w:r w:rsidRPr="008202ED">
        <w:rPr>
          <w:color w:val="000000"/>
          <w:shd w:val="clear" w:color="auto" w:fill="FFFFFF"/>
        </w:rPr>
        <w:t xml:space="preserve">Hlavní koncepcí hospodářského cyklu je teorie reálných hospodářských cyklů. Teorie reálného hospodářského cyklu se zaměřuje </w:t>
      </w:r>
      <w:proofErr w:type="gramStart"/>
      <w:r w:rsidRPr="008202ED">
        <w:rPr>
          <w:color w:val="000000"/>
          <w:shd w:val="clear" w:color="auto" w:fill="FFFFFF"/>
        </w:rPr>
        <w:t>na</w:t>
      </w:r>
      <w:proofErr w:type="gramEnd"/>
      <w:r w:rsidRPr="008202ED">
        <w:rPr>
          <w:color w:val="000000"/>
          <w:shd w:val="clear" w:color="auto" w:fill="FFFFFF"/>
        </w:rPr>
        <w:t xml:space="preserve"> vysvětlení hospodářských výkyvů. Hlavními autory teorie reálných hospodářských cyklů (reálných hospodářských cyklů - RBC) jsou Kydland a Prescott (1982), jejichž model je považován za standardní model RBC. V tomto modelu je produktivita (TFP) brána jako endogenní složka (Rebelo 2005) a šoky produktivity hrají hlavní roli jako exogenní impuls makroekonomické aktivity (Evans 1992). Máme dva typy strukturálních šoků: (1) technologické šoky, tj. </w:t>
      </w:r>
      <w:proofErr w:type="gramStart"/>
      <w:r w:rsidRPr="008202ED">
        <w:rPr>
          <w:color w:val="000000"/>
          <w:shd w:val="clear" w:color="auto" w:fill="FFFFFF"/>
        </w:rPr>
        <w:t>změny</w:t>
      </w:r>
      <w:proofErr w:type="gramEnd"/>
      <w:r w:rsidRPr="008202ED">
        <w:rPr>
          <w:color w:val="000000"/>
          <w:shd w:val="clear" w:color="auto" w:fill="FFFFFF"/>
        </w:rPr>
        <w:t xml:space="preserve"> v technologickém pokroku, které ovlivňují produktivitu v dlouhodobém horizontu, a (2) netechnologické šoky, tj. </w:t>
      </w:r>
      <w:proofErr w:type="gramStart"/>
      <w:r w:rsidRPr="008202ED">
        <w:rPr>
          <w:color w:val="000000"/>
          <w:shd w:val="clear" w:color="auto" w:fill="FFFFFF"/>
        </w:rPr>
        <w:t>všechny</w:t>
      </w:r>
      <w:proofErr w:type="gramEnd"/>
      <w:r w:rsidRPr="008202ED">
        <w:rPr>
          <w:color w:val="000000"/>
          <w:shd w:val="clear" w:color="auto" w:fill="FFFFFF"/>
        </w:rPr>
        <w:t xml:space="preserve"> ostatní šoky, které ovlivňují produktivitu dočasně prostřednictvím svých účinků na akumulaci kapitálu a agregátní poptávku (Travaglini 2012, s. 38 ).</w:t>
      </w:r>
      <w:r w:rsidR="00F40A40" w:rsidRPr="00E54D02">
        <w:rPr>
          <w:color w:val="000000"/>
          <w:shd w:val="clear" w:color="auto" w:fill="FFFFFF"/>
        </w:rPr>
        <w:t xml:space="preserve"> </w:t>
      </w:r>
    </w:p>
    <w:p w:rsidR="00663322" w:rsidRPr="00E54D02" w:rsidRDefault="00236F9B" w:rsidP="00E54D02">
      <w:pPr>
        <w:pStyle w:val="Normlnweb"/>
        <w:shd w:val="clear" w:color="auto" w:fill="FFFFFF"/>
        <w:spacing w:line="360" w:lineRule="auto"/>
        <w:jc w:val="both"/>
        <w:rPr>
          <w:color w:val="333333"/>
        </w:rPr>
      </w:pPr>
      <w:r w:rsidRPr="00E54D02">
        <w:rPr>
          <w:color w:val="000000"/>
          <w:shd w:val="clear" w:color="auto" w:fill="FFFFFF"/>
        </w:rPr>
        <w:t>Mezi určující vliv častou autoři uvádějí vliv hospodářského cyklu a to jako z makroekonomického pohledu</w:t>
      </w:r>
      <w:proofErr w:type="gramStart"/>
      <w:r w:rsidRPr="00E54D02">
        <w:rPr>
          <w:color w:val="000000"/>
          <w:shd w:val="clear" w:color="auto" w:fill="FFFFFF"/>
        </w:rPr>
        <w:t>,tak</w:t>
      </w:r>
      <w:proofErr w:type="gramEnd"/>
      <w:r w:rsidRPr="00E54D02">
        <w:rPr>
          <w:color w:val="000000"/>
          <w:shd w:val="clear" w:color="auto" w:fill="FFFFFF"/>
        </w:rPr>
        <w:t xml:space="preserve">  I z podnikového pohledu. Tento pohled potvrdila studie </w:t>
      </w:r>
      <w:r w:rsidR="006E1B39" w:rsidRPr="00E54D02">
        <w:t>Osotimehin (2019)</w:t>
      </w:r>
      <w:proofErr w:type="gramStart"/>
      <w:r w:rsidR="006E1B39" w:rsidRPr="00E54D02">
        <w:t>,  která</w:t>
      </w:r>
      <w:proofErr w:type="gramEnd"/>
      <w:r w:rsidR="006E1B39" w:rsidRPr="00E54D02">
        <w:t xml:space="preserve"> u zjistila u francouských výrobních firem, že z</w:t>
      </w:r>
      <w:r w:rsidRPr="00E54D02">
        <w:rPr>
          <w:color w:val="000000"/>
          <w:shd w:val="clear" w:color="auto" w:fill="FFFFFF"/>
        </w:rPr>
        <w:t>měny produktivity na úrovn</w:t>
      </w:r>
      <w:r w:rsidR="006E1B39" w:rsidRPr="00E54D02">
        <w:rPr>
          <w:color w:val="000000"/>
          <w:shd w:val="clear" w:color="auto" w:fill="FFFFFF"/>
        </w:rPr>
        <w:t>i firmy jsou vysoce procyklické a současně změny v  alokační účinnosti v rámci odvětví jsou proticyklické.</w:t>
      </w:r>
      <w:r w:rsidR="002136F2" w:rsidRPr="00E54D02">
        <w:rPr>
          <w:color w:val="333333"/>
        </w:rPr>
        <w:t>Vliv různých faktorů na růst prod</w:t>
      </w:r>
      <w:r w:rsidR="00CB76CA" w:rsidRPr="00E54D02">
        <w:rPr>
          <w:color w:val="333333"/>
        </w:rPr>
        <w:t>uktivity se v průběhu času může měnit.</w:t>
      </w:r>
    </w:p>
    <w:p w:rsidR="00151566" w:rsidRPr="00151566" w:rsidRDefault="00B64DF8" w:rsidP="00151566">
      <w:pPr>
        <w:pStyle w:val="Normlnweb"/>
        <w:shd w:val="clear" w:color="auto" w:fill="FFFFFF"/>
        <w:spacing w:line="360" w:lineRule="auto"/>
        <w:jc w:val="both"/>
        <w:rPr>
          <w:color w:val="000000"/>
          <w:shd w:val="clear" w:color="auto" w:fill="FFFFFF"/>
        </w:rPr>
      </w:pPr>
      <w:r w:rsidRPr="00151566">
        <w:rPr>
          <w:color w:val="000000"/>
          <w:shd w:val="clear" w:color="auto" w:fill="FFFFFF"/>
        </w:rPr>
        <w:lastRenderedPageBreak/>
        <w:t xml:space="preserve">Teorie reálného hospodářského cyklu zdůraznila význam šoků v produktivity k pochopení fluktuace ekonomického agregátního </w:t>
      </w:r>
      <w:proofErr w:type="gramStart"/>
      <w:r w:rsidRPr="00151566">
        <w:rPr>
          <w:color w:val="000000"/>
          <w:shd w:val="clear" w:color="auto" w:fill="FFFFFF"/>
        </w:rPr>
        <w:t>výstupu.Podíly</w:t>
      </w:r>
      <w:proofErr w:type="gramEnd"/>
      <w:r w:rsidRPr="00151566">
        <w:rPr>
          <w:color w:val="000000"/>
          <w:shd w:val="clear" w:color="auto" w:fill="FFFFFF"/>
        </w:rPr>
        <w:t xml:space="preserve"> na jednotlivých odvětví (sektorů) na celkovém ekonomickém výstupu není konstantní. Pokud jeden sektor, </w:t>
      </w:r>
      <w:proofErr w:type="gramStart"/>
      <w:r w:rsidRPr="00151566">
        <w:rPr>
          <w:color w:val="000000"/>
          <w:shd w:val="clear" w:color="auto" w:fill="FFFFFF"/>
        </w:rPr>
        <w:t>klesá nahrazuje</w:t>
      </w:r>
      <w:proofErr w:type="gramEnd"/>
      <w:r w:rsidRPr="00151566">
        <w:rPr>
          <w:color w:val="000000"/>
          <w:shd w:val="clear" w:color="auto" w:fill="FFFFFF"/>
        </w:rPr>
        <w:t xml:space="preserve"> ho jiný sektor a tyto změny jsou považovány za trvalé.  Z dlouhodbého hledika toto lze nalést napříkla u snižování podílu zeměděství a zvyšování podílu služeb. Nicméně šoky v produktivě nejsou schopny vysvětlit více než to že jde o některý z náhodných jevů, které pohánějí ekonomiku (Lucke 1998)</w:t>
      </w:r>
      <w:r w:rsidR="00151566" w:rsidRPr="00151566">
        <w:rPr>
          <w:color w:val="000000"/>
          <w:shd w:val="clear" w:color="auto" w:fill="FFFFFF"/>
        </w:rPr>
        <w:t>.  Na druhé straně šoky produktivity hrají v reálných hospodářských cyklech ústřední roli jako exogenní impuls pro makroekonomickou aktivitu.</w:t>
      </w:r>
    </w:p>
    <w:p w:rsidR="00151566" w:rsidRPr="00151566" w:rsidRDefault="00151566" w:rsidP="00151566">
      <w:pPr>
        <w:pStyle w:val="Normlnweb"/>
        <w:shd w:val="clear" w:color="auto" w:fill="FFFFFF"/>
        <w:spacing w:line="360" w:lineRule="auto"/>
        <w:jc w:val="both"/>
        <w:rPr>
          <w:color w:val="000000"/>
          <w:shd w:val="clear" w:color="auto" w:fill="FFFFFF"/>
        </w:rPr>
      </w:pPr>
    </w:p>
    <w:p w:rsidR="00663322" w:rsidRPr="00E54D02" w:rsidRDefault="00663322" w:rsidP="00E54D02">
      <w:pPr>
        <w:shd w:val="clear" w:color="auto" w:fill="FFFFFF"/>
        <w:spacing w:after="360" w:line="360" w:lineRule="auto"/>
        <w:jc w:val="both"/>
        <w:rPr>
          <w:color w:val="333333"/>
          <w:lang w:val="en-GB" w:eastAsia="en-GB"/>
        </w:rPr>
      </w:pPr>
      <w:r w:rsidRPr="00E54D02">
        <w:rPr>
          <w:color w:val="333333"/>
          <w:lang w:val="en-GB" w:eastAsia="en-GB"/>
        </w:rPr>
        <w:t xml:space="preserve">V průběhu času se vliv různých faktorů </w:t>
      </w:r>
      <w:proofErr w:type="gramStart"/>
      <w:r w:rsidRPr="00E54D02">
        <w:rPr>
          <w:color w:val="333333"/>
          <w:lang w:val="en-GB" w:eastAsia="en-GB"/>
        </w:rPr>
        <w:t>na</w:t>
      </w:r>
      <w:proofErr w:type="gramEnd"/>
      <w:r w:rsidRPr="00E54D02">
        <w:rPr>
          <w:color w:val="333333"/>
          <w:lang w:val="en-GB" w:eastAsia="en-GB"/>
        </w:rPr>
        <w:t xml:space="preserve"> růst produktivity měnil. Vliv urbanizace souvisejícím s přesunem zaměstnanců v odvětvích oslabuje a naopak roste vliv demografických faktorů související se změnou věkové struktury obyvatelstva. Roste i význam inovací a přeshraniční transfer technologií (Dieppe 2021)</w:t>
      </w:r>
    </w:p>
    <w:p w:rsidR="006F04EE" w:rsidRPr="00E54D02" w:rsidRDefault="00CB76CA" w:rsidP="00E54D02">
      <w:pPr>
        <w:pStyle w:val="Normlnweb"/>
        <w:shd w:val="clear" w:color="auto" w:fill="FFFFFF"/>
        <w:spacing w:line="360" w:lineRule="auto"/>
        <w:jc w:val="both"/>
        <w:rPr>
          <w:color w:val="333333"/>
        </w:rPr>
      </w:pPr>
      <w:r w:rsidRPr="00E54D02">
        <w:rPr>
          <w:color w:val="333333"/>
        </w:rPr>
        <w:t xml:space="preserve"> </w:t>
      </w:r>
    </w:p>
    <w:p w:rsidR="00007C74" w:rsidRPr="00E54D02" w:rsidRDefault="00CB76CA" w:rsidP="00E54D02">
      <w:pPr>
        <w:pStyle w:val="Odstavecseseznamem"/>
        <w:numPr>
          <w:ilvl w:val="2"/>
          <w:numId w:val="2"/>
        </w:numPr>
        <w:shd w:val="clear" w:color="auto" w:fill="FFFFFF"/>
        <w:spacing w:after="360" w:line="360" w:lineRule="auto"/>
        <w:rPr>
          <w:rFonts w:ascii="Times New Roman" w:hAnsi="Times New Roman" w:cs="Times New Roman"/>
          <w:b/>
          <w:color w:val="333333"/>
          <w:sz w:val="24"/>
          <w:szCs w:val="24"/>
          <w:lang w:val="en-GB" w:eastAsia="en-GB"/>
        </w:rPr>
      </w:pPr>
      <w:r w:rsidRPr="00E54D02">
        <w:rPr>
          <w:rFonts w:ascii="Times New Roman" w:hAnsi="Times New Roman" w:cs="Times New Roman"/>
          <w:b/>
          <w:color w:val="333333"/>
          <w:sz w:val="24"/>
          <w:szCs w:val="24"/>
          <w:lang w:val="en-GB" w:eastAsia="en-GB"/>
        </w:rPr>
        <w:t>Hlavní motory růstu productivity  (p</w:t>
      </w:r>
      <w:r w:rsidR="00366978" w:rsidRPr="00E54D02">
        <w:rPr>
          <w:rFonts w:ascii="Times New Roman" w:hAnsi="Times New Roman" w:cs="Times New Roman"/>
          <w:b/>
          <w:color w:val="333333"/>
          <w:sz w:val="24"/>
          <w:szCs w:val="24"/>
          <w:lang w:val="en-GB" w:eastAsia="en-GB"/>
        </w:rPr>
        <w:t>roductivity drivers</w:t>
      </w:r>
      <w:r w:rsidRPr="00E54D02">
        <w:rPr>
          <w:rFonts w:ascii="Times New Roman" w:hAnsi="Times New Roman" w:cs="Times New Roman"/>
          <w:b/>
          <w:color w:val="333333"/>
          <w:sz w:val="24"/>
          <w:szCs w:val="24"/>
          <w:lang w:val="en-GB" w:eastAsia="en-GB"/>
        </w:rPr>
        <w:t>)</w:t>
      </w:r>
    </w:p>
    <w:p w:rsidR="00C32BC9" w:rsidRPr="00E54D02" w:rsidRDefault="001D3F68" w:rsidP="00E54D02">
      <w:pPr>
        <w:shd w:val="clear" w:color="auto" w:fill="FFFFFF"/>
        <w:spacing w:after="360" w:line="360" w:lineRule="auto"/>
        <w:jc w:val="both"/>
        <w:rPr>
          <w:color w:val="333333"/>
          <w:lang w:val="en-GB" w:eastAsia="en-GB"/>
        </w:rPr>
      </w:pPr>
      <w:r w:rsidRPr="00E54D02">
        <w:rPr>
          <w:color w:val="333333"/>
          <w:lang w:val="en-GB" w:eastAsia="en-GB"/>
        </w:rPr>
        <w:t xml:space="preserve">Často </w:t>
      </w:r>
      <w:r w:rsidR="00F40A40" w:rsidRPr="00E54D02">
        <w:rPr>
          <w:color w:val="333333"/>
          <w:lang w:val="en-GB" w:eastAsia="en-GB"/>
        </w:rPr>
        <w:t xml:space="preserve">se </w:t>
      </w:r>
      <w:r w:rsidRPr="00E54D02">
        <w:rPr>
          <w:color w:val="333333"/>
          <w:lang w:val="en-GB" w:eastAsia="en-GB"/>
        </w:rPr>
        <w:t xml:space="preserve">analýzy produktvity zabývají otázkou jaké jsou hlavní </w:t>
      </w:r>
      <w:r w:rsidR="00F40A40" w:rsidRPr="00E54D02">
        <w:rPr>
          <w:color w:val="333333"/>
          <w:lang w:val="en-GB" w:eastAsia="en-GB"/>
        </w:rPr>
        <w:t>faktory, které jsou hnacím motorem růstu produk</w:t>
      </w:r>
      <w:r w:rsidRPr="00E54D02">
        <w:rPr>
          <w:color w:val="333333"/>
          <w:lang w:val="en-GB" w:eastAsia="en-GB"/>
        </w:rPr>
        <w:t>tivity v současném globálním světě. Hledání</w:t>
      </w:r>
      <w:r w:rsidR="00F40A40" w:rsidRPr="00E54D02">
        <w:rPr>
          <w:color w:val="333333"/>
          <w:lang w:val="en-GB" w:eastAsia="en-GB"/>
        </w:rPr>
        <w:t xml:space="preserve"> hlavní hybných sil růstu produk</w:t>
      </w:r>
      <w:r w:rsidRPr="00E54D02">
        <w:rPr>
          <w:color w:val="333333"/>
          <w:lang w:val="en-GB" w:eastAsia="en-GB"/>
        </w:rPr>
        <w:t>tivity jsou i nadále klíčovým tématem pro výzkumníky a tvůrce hospodářských politiky. Tyto motory růstu productivity mouhou mít dopad na produktivitu v krátkém hodrizontou (např. investice do výrobních kapacit) či v dlouhodobém horizovntu (např. změny v technologií se zavání průmyslu 4.0</w:t>
      </w:r>
      <w:proofErr w:type="gramStart"/>
      <w:r w:rsidRPr="00E54D02">
        <w:rPr>
          <w:color w:val="333333"/>
          <w:lang w:val="en-GB" w:eastAsia="en-GB"/>
        </w:rPr>
        <w:t>) .</w:t>
      </w:r>
      <w:proofErr w:type="gramEnd"/>
      <w:r w:rsidRPr="00E54D02">
        <w:rPr>
          <w:color w:val="333333"/>
          <w:lang w:val="en-GB" w:eastAsia="en-GB"/>
        </w:rPr>
        <w:t xml:space="preserve"> </w:t>
      </w:r>
      <w:r w:rsidR="009A5A40" w:rsidRPr="00E54D02">
        <w:rPr>
          <w:color w:val="333333"/>
          <w:lang w:val="en-GB" w:eastAsia="en-GB"/>
        </w:rPr>
        <w:t xml:space="preserve">Tento závěr potvrzuje i studie Venturini (2015), která zjistila, že investice do technologicky vyspělého kapitálu (ICT) mají pozivní vliv na růst celkové productivity výrobních faktorů z dlouhodobého horizontu a současně přináší pozitivní externylitu ve forně přelévání znalostí a technologií při růstu productivity. </w:t>
      </w:r>
      <w:r w:rsidR="00C32BC9" w:rsidRPr="00E54D02">
        <w:rPr>
          <w:color w:val="333333"/>
          <w:lang w:val="en-GB" w:eastAsia="en-GB"/>
        </w:rPr>
        <w:t xml:space="preserve">Současně existují podnikové aktivity, které pozitivně působí </w:t>
      </w:r>
      <w:proofErr w:type="gramStart"/>
      <w:r w:rsidR="00C32BC9" w:rsidRPr="00E54D02">
        <w:rPr>
          <w:color w:val="333333"/>
          <w:lang w:val="en-GB" w:eastAsia="en-GB"/>
        </w:rPr>
        <w:t>na</w:t>
      </w:r>
      <w:proofErr w:type="gramEnd"/>
      <w:r w:rsidR="00C32BC9" w:rsidRPr="00E54D02">
        <w:rPr>
          <w:color w:val="333333"/>
          <w:lang w:val="en-GB" w:eastAsia="en-GB"/>
        </w:rPr>
        <w:t xml:space="preserve"> produktivitu neboli vedou k růstu produktvity. Dle Kavana (2002) sem můžeme </w:t>
      </w:r>
      <w:proofErr w:type="gramStart"/>
      <w:r w:rsidR="00C32BC9" w:rsidRPr="00E54D02">
        <w:rPr>
          <w:color w:val="333333"/>
          <w:lang w:val="en-GB" w:eastAsia="en-GB"/>
        </w:rPr>
        <w:t>zařadit</w:t>
      </w:r>
      <w:r w:rsidR="00C32BC9" w:rsidRPr="00E54D02">
        <w:t xml:space="preserve"> </w:t>
      </w:r>
      <w:r w:rsidR="00C32BC9" w:rsidRPr="00E54D02">
        <w:rPr>
          <w:color w:val="333333"/>
          <w:lang w:val="en-GB" w:eastAsia="en-GB"/>
        </w:rPr>
        <w:t xml:space="preserve"> např</w:t>
      </w:r>
      <w:proofErr w:type="gramEnd"/>
      <w:r w:rsidR="00C32BC9" w:rsidRPr="00E54D02">
        <w:rPr>
          <w:color w:val="333333"/>
          <w:lang w:val="en-GB" w:eastAsia="en-GB"/>
        </w:rPr>
        <w:t xml:space="preserve">.  </w:t>
      </w:r>
      <w:proofErr w:type="gramStart"/>
      <w:r w:rsidR="00C32BC9" w:rsidRPr="00E54D02">
        <w:rPr>
          <w:color w:val="333333"/>
          <w:lang w:val="en-GB" w:eastAsia="en-GB"/>
        </w:rPr>
        <w:t>podrobnou</w:t>
      </w:r>
      <w:proofErr w:type="gramEnd"/>
      <w:r w:rsidR="00C32BC9" w:rsidRPr="00E54D02">
        <w:rPr>
          <w:color w:val="333333"/>
          <w:lang w:val="en-GB" w:eastAsia="en-GB"/>
        </w:rPr>
        <w:t xml:space="preserve"> analýza výrobního systému a odhalení případných úzkých míst v systému nebo rozvoj metod vedoucích ke zvýšení produktivity, sběr nápadů od zaměstnanců manipulujících se stroji, vytvoření týmové spolupráce napříč celou firmou, přejímáním zkušeností apod. </w:t>
      </w:r>
    </w:p>
    <w:p w:rsidR="001E50F1" w:rsidRDefault="009A5A40" w:rsidP="00E54D02">
      <w:pPr>
        <w:shd w:val="clear" w:color="auto" w:fill="FFFFFF"/>
        <w:spacing w:after="360" w:line="360" w:lineRule="auto"/>
        <w:jc w:val="both"/>
        <w:rPr>
          <w:color w:val="333333"/>
          <w:lang w:val="en-GB" w:eastAsia="en-GB"/>
        </w:rPr>
      </w:pPr>
      <w:r w:rsidRPr="00E54D02">
        <w:rPr>
          <w:color w:val="333333"/>
          <w:lang w:val="en-GB" w:eastAsia="en-GB"/>
        </w:rPr>
        <w:lastRenderedPageBreak/>
        <w:t xml:space="preserve">Při posuzování hlavních zdrojích růstu (hnacích motorů) produktivity je nezbytné upozornit, že tyto zdroje růstu je nutné rozdělit </w:t>
      </w:r>
      <w:proofErr w:type="gramStart"/>
      <w:r w:rsidRPr="00E54D02">
        <w:rPr>
          <w:color w:val="333333"/>
          <w:lang w:val="en-GB" w:eastAsia="en-GB"/>
        </w:rPr>
        <w:t>na</w:t>
      </w:r>
      <w:proofErr w:type="gramEnd"/>
      <w:r w:rsidRPr="00E54D02">
        <w:rPr>
          <w:color w:val="333333"/>
          <w:lang w:val="en-GB" w:eastAsia="en-GB"/>
        </w:rPr>
        <w:t xml:space="preserve"> ty, které mají vliv na z agregátního pohledu a na ty, které ovlivňují produktivitu z odvětvého pohledu.   </w:t>
      </w:r>
      <w:r w:rsidR="003A006E" w:rsidRPr="00E54D02">
        <w:rPr>
          <w:color w:val="333333"/>
          <w:lang w:val="en-GB" w:eastAsia="en-GB"/>
        </w:rPr>
        <w:t xml:space="preserve">Současně se v důsledku strukturálních změn, kterými ekonomiky prošly, změnila úloha různých faktorů, přičemž význam některých vzrostl a jiných poklesl. </w:t>
      </w:r>
      <w:r w:rsidRPr="00E54D02">
        <w:rPr>
          <w:color w:val="333333"/>
          <w:lang w:val="en-GB" w:eastAsia="en-GB"/>
        </w:rPr>
        <w:t xml:space="preserve">Za hlavní motor růstu v posledních letech jsou považovány investice a to investice do ICT (Adarov a Stehrer 2020), </w:t>
      </w:r>
      <w:proofErr w:type="gramStart"/>
      <w:r w:rsidRPr="00E54D02">
        <w:rPr>
          <w:color w:val="333333"/>
          <w:lang w:val="en-GB" w:eastAsia="en-GB"/>
        </w:rPr>
        <w:t>a  investice</w:t>
      </w:r>
      <w:proofErr w:type="gramEnd"/>
      <w:r w:rsidRPr="00E54D02">
        <w:rPr>
          <w:color w:val="333333"/>
          <w:lang w:val="en-GB" w:eastAsia="en-GB"/>
        </w:rPr>
        <w:t xml:space="preserve"> do lidského kapitálu ( (Dieppe, 2021). Čím dál více se zohledneňuje do budoucna</w:t>
      </w:r>
      <w:proofErr w:type="gramStart"/>
      <w:r w:rsidRPr="00E54D02">
        <w:rPr>
          <w:color w:val="333333"/>
          <w:lang w:val="en-GB" w:eastAsia="en-GB"/>
        </w:rPr>
        <w:t>,že</w:t>
      </w:r>
      <w:proofErr w:type="gramEnd"/>
      <w:r w:rsidRPr="00E54D02">
        <w:rPr>
          <w:color w:val="333333"/>
          <w:lang w:val="en-GB" w:eastAsia="en-GB"/>
        </w:rPr>
        <w:t xml:space="preserve"> možný hnacím prvkem bude udržitelnost produkce nebo-li efektivní využívání zdrojů tzn. </w:t>
      </w:r>
      <w:proofErr w:type="gramStart"/>
      <w:r w:rsidRPr="00E54D02">
        <w:rPr>
          <w:color w:val="333333"/>
          <w:lang w:val="en-GB" w:eastAsia="en-GB"/>
        </w:rPr>
        <w:t>resource</w:t>
      </w:r>
      <w:proofErr w:type="gramEnd"/>
      <w:r w:rsidRPr="00E54D02">
        <w:rPr>
          <w:color w:val="333333"/>
          <w:lang w:val="en-GB" w:eastAsia="en-GB"/>
        </w:rPr>
        <w:t xml:space="preserve"> productivity (Schandl et al., 2018</w:t>
      </w:r>
      <w:r w:rsidR="007653C5" w:rsidRPr="00E54D02">
        <w:rPr>
          <w:color w:val="333333"/>
          <w:lang w:val="en-GB" w:eastAsia="en-GB"/>
        </w:rPr>
        <w:t xml:space="preserve">, Novotná et. al. 2021 </w:t>
      </w:r>
      <w:r w:rsidRPr="00E54D02">
        <w:rPr>
          <w:color w:val="333333"/>
          <w:lang w:val="en-GB" w:eastAsia="en-GB"/>
        </w:rPr>
        <w:t>).</w:t>
      </w:r>
    </w:p>
    <w:p w:rsidR="001E50F1" w:rsidRPr="001E50F1" w:rsidRDefault="001E50F1" w:rsidP="001E50F1">
      <w:pPr>
        <w:shd w:val="clear" w:color="auto" w:fill="FFFFFF"/>
        <w:spacing w:after="360" w:line="360" w:lineRule="auto"/>
        <w:jc w:val="both"/>
        <w:rPr>
          <w:color w:val="333333"/>
          <w:lang w:val="en-GB" w:eastAsia="en-GB"/>
        </w:rPr>
      </w:pPr>
      <w:r>
        <w:rPr>
          <w:color w:val="333333"/>
          <w:lang w:val="en-GB" w:eastAsia="en-GB"/>
        </w:rPr>
        <w:t xml:space="preserve">Určitým způsobem může růst a velikost productivity ovlivňovat hospodářská politika.  Dle studie OECD of </w:t>
      </w:r>
      <w:r w:rsidRPr="001E50F1">
        <w:rPr>
          <w:color w:val="333333"/>
          <w:lang w:val="en-GB" w:eastAsia="en-GB"/>
        </w:rPr>
        <w:t>McGowan</w:t>
      </w:r>
      <w:r>
        <w:rPr>
          <w:color w:val="333333"/>
          <w:lang w:val="en-GB" w:eastAsia="en-GB"/>
        </w:rPr>
        <w:t xml:space="preserve">a et al. </w:t>
      </w:r>
      <w:r w:rsidRPr="001E50F1">
        <w:rPr>
          <w:color w:val="333333"/>
          <w:lang w:val="en-GB" w:eastAsia="en-GB"/>
        </w:rPr>
        <w:t xml:space="preserve"> </w:t>
      </w:r>
      <w:r>
        <w:rPr>
          <w:color w:val="333333"/>
          <w:lang w:val="en-GB" w:eastAsia="en-GB"/>
        </w:rPr>
        <w:t>(</w:t>
      </w:r>
      <w:r w:rsidRPr="001E50F1">
        <w:rPr>
          <w:color w:val="333333"/>
          <w:lang w:val="en-GB" w:eastAsia="en-GB"/>
        </w:rPr>
        <w:t xml:space="preserve">2015) </w:t>
      </w:r>
      <w:r>
        <w:rPr>
          <w:color w:val="333333"/>
          <w:lang w:val="en-GB" w:eastAsia="en-GB"/>
        </w:rPr>
        <w:t>p</w:t>
      </w:r>
      <w:r w:rsidRPr="001E50F1">
        <w:rPr>
          <w:color w:val="333333"/>
          <w:lang w:val="en-GB" w:eastAsia="en-GB"/>
        </w:rPr>
        <w:t>olitiky k udržení růstu produktivity zahrnují</w:t>
      </w:r>
      <w:r>
        <w:rPr>
          <w:color w:val="333333"/>
          <w:lang w:val="en-GB" w:eastAsia="en-GB"/>
        </w:rPr>
        <w:t xml:space="preserve"> následující možnosti</w:t>
      </w:r>
      <w:r w:rsidRPr="001E50F1">
        <w:rPr>
          <w:color w:val="333333"/>
          <w:lang w:val="en-GB" w:eastAsia="en-GB"/>
        </w:rPr>
        <w:t>:</w:t>
      </w:r>
    </w:p>
    <w:p w:rsidR="001E50F1" w:rsidRPr="00C82D1F" w:rsidRDefault="001E50F1" w:rsidP="00C82D1F">
      <w:pPr>
        <w:pStyle w:val="Odstavecseseznamem"/>
        <w:numPr>
          <w:ilvl w:val="0"/>
          <w:numId w:val="12"/>
        </w:numPr>
        <w:shd w:val="clear" w:color="auto" w:fill="FFFFFF"/>
        <w:spacing w:after="360" w:line="360" w:lineRule="auto"/>
        <w:jc w:val="both"/>
        <w:rPr>
          <w:color w:val="333333"/>
          <w:lang w:val="en-GB" w:eastAsia="en-GB"/>
        </w:rPr>
      </w:pPr>
      <w:r w:rsidRPr="00C82D1F">
        <w:rPr>
          <w:color w:val="333333"/>
          <w:lang w:val="en-GB" w:eastAsia="en-GB"/>
        </w:rPr>
        <w:t xml:space="preserve">Zlepšení veřejného financování </w:t>
      </w:r>
      <w:proofErr w:type="gramStart"/>
      <w:r w:rsidRPr="00C82D1F">
        <w:rPr>
          <w:color w:val="333333"/>
          <w:lang w:val="en-GB" w:eastAsia="en-GB"/>
        </w:rPr>
        <w:t>a</w:t>
      </w:r>
      <w:proofErr w:type="gramEnd"/>
      <w:r w:rsidRPr="00C82D1F">
        <w:rPr>
          <w:color w:val="333333"/>
          <w:lang w:val="en-GB" w:eastAsia="en-GB"/>
        </w:rPr>
        <w:t xml:space="preserve"> organizace základního výzkumu, které poskytují správné podmínky pro růst produktivity.</w:t>
      </w:r>
    </w:p>
    <w:p w:rsidR="001E50F1" w:rsidRPr="00C82D1F" w:rsidRDefault="001E50F1" w:rsidP="00C82D1F">
      <w:pPr>
        <w:pStyle w:val="Odstavecseseznamem"/>
        <w:numPr>
          <w:ilvl w:val="0"/>
          <w:numId w:val="12"/>
        </w:numPr>
        <w:shd w:val="clear" w:color="auto" w:fill="FFFFFF"/>
        <w:spacing w:after="360" w:line="360" w:lineRule="auto"/>
        <w:jc w:val="both"/>
        <w:rPr>
          <w:color w:val="333333"/>
          <w:lang w:val="en-GB" w:eastAsia="en-GB"/>
        </w:rPr>
      </w:pPr>
      <w:r w:rsidRPr="00C82D1F">
        <w:rPr>
          <w:color w:val="333333"/>
          <w:lang w:val="en-GB" w:eastAsia="en-GB"/>
        </w:rPr>
        <w:t>Rostoucí mezinárodní propojení a klíčová úloha nadnárodních podniků při podpoře růstu.</w:t>
      </w:r>
    </w:p>
    <w:p w:rsidR="001E50F1" w:rsidRPr="00C82D1F" w:rsidRDefault="001E50F1" w:rsidP="00C82D1F">
      <w:pPr>
        <w:pStyle w:val="Odstavecseseznamem"/>
        <w:numPr>
          <w:ilvl w:val="0"/>
          <w:numId w:val="12"/>
        </w:numPr>
        <w:shd w:val="clear" w:color="auto" w:fill="FFFFFF"/>
        <w:spacing w:after="360" w:line="360" w:lineRule="auto"/>
        <w:jc w:val="both"/>
        <w:rPr>
          <w:color w:val="333333"/>
          <w:lang w:val="en-GB" w:eastAsia="en-GB"/>
        </w:rPr>
      </w:pPr>
      <w:r w:rsidRPr="00C82D1F">
        <w:rPr>
          <w:color w:val="333333"/>
          <w:lang w:val="en-GB" w:eastAsia="en-GB"/>
        </w:rPr>
        <w:t>Růst produktivity prostřednictvím šíření inovací na globální hranici na národní hranici</w:t>
      </w:r>
    </w:p>
    <w:p w:rsidR="001E50F1" w:rsidRPr="00C82D1F" w:rsidRDefault="001E50F1" w:rsidP="00C82D1F">
      <w:pPr>
        <w:pStyle w:val="Odstavecseseznamem"/>
        <w:numPr>
          <w:ilvl w:val="0"/>
          <w:numId w:val="12"/>
        </w:numPr>
        <w:shd w:val="clear" w:color="auto" w:fill="FFFFFF"/>
        <w:spacing w:after="360" w:line="360" w:lineRule="auto"/>
        <w:jc w:val="both"/>
        <w:rPr>
          <w:color w:val="333333"/>
          <w:lang w:val="en-GB" w:eastAsia="en-GB"/>
        </w:rPr>
      </w:pPr>
      <w:r w:rsidRPr="00C82D1F">
        <w:rPr>
          <w:color w:val="333333"/>
          <w:lang w:val="en-GB" w:eastAsia="en-GB"/>
        </w:rPr>
        <w:t xml:space="preserve">Konkurenceschopné a otevřené podnikatelské prostředí, které podporuje zavádění špičkových </w:t>
      </w:r>
      <w:r w:rsidRPr="00C82D1F">
        <w:rPr>
          <w:color w:val="333333"/>
          <w:lang w:val="en-GB" w:eastAsia="en-GB"/>
        </w:rPr>
        <w:t>technologií</w:t>
      </w:r>
    </w:p>
    <w:p w:rsidR="001E50F1" w:rsidRPr="00C82D1F" w:rsidRDefault="001E50F1" w:rsidP="00C82D1F">
      <w:pPr>
        <w:pStyle w:val="Odstavecseseznamem"/>
        <w:numPr>
          <w:ilvl w:val="0"/>
          <w:numId w:val="12"/>
        </w:numPr>
        <w:shd w:val="clear" w:color="auto" w:fill="FFFFFF"/>
        <w:spacing w:after="360" w:line="360" w:lineRule="auto"/>
        <w:jc w:val="both"/>
        <w:rPr>
          <w:color w:val="333333"/>
          <w:lang w:val="en-GB" w:eastAsia="en-GB"/>
        </w:rPr>
      </w:pPr>
      <w:r w:rsidRPr="00C82D1F">
        <w:rPr>
          <w:color w:val="333333"/>
          <w:lang w:val="en-GB" w:eastAsia="en-GB"/>
        </w:rPr>
        <w:t xml:space="preserve">Inovační politiky, včetně daňových pobídek pro výzkum a </w:t>
      </w:r>
      <w:r w:rsidRPr="00C82D1F">
        <w:rPr>
          <w:color w:val="333333"/>
          <w:lang w:val="en-GB" w:eastAsia="en-GB"/>
        </w:rPr>
        <w:t xml:space="preserve">vývoj, podpora spolupráce mezi podniky </w:t>
      </w:r>
      <w:r w:rsidRPr="00C82D1F">
        <w:rPr>
          <w:color w:val="333333"/>
          <w:lang w:val="en-GB" w:eastAsia="en-GB"/>
        </w:rPr>
        <w:t xml:space="preserve">a univerzitami </w:t>
      </w:r>
    </w:p>
    <w:p w:rsidR="001E50F1" w:rsidRPr="00C82D1F" w:rsidRDefault="001E50F1" w:rsidP="00C82D1F">
      <w:pPr>
        <w:pStyle w:val="Odstavecseseznamem"/>
        <w:numPr>
          <w:ilvl w:val="0"/>
          <w:numId w:val="12"/>
        </w:numPr>
        <w:shd w:val="clear" w:color="auto" w:fill="FFFFFF"/>
        <w:spacing w:after="360" w:line="360" w:lineRule="auto"/>
        <w:jc w:val="both"/>
        <w:rPr>
          <w:color w:val="333333"/>
          <w:lang w:val="en-GB" w:eastAsia="en-GB"/>
        </w:rPr>
      </w:pPr>
      <w:r w:rsidRPr="00C82D1F">
        <w:rPr>
          <w:color w:val="333333"/>
          <w:lang w:val="en-GB" w:eastAsia="en-GB"/>
        </w:rPr>
        <w:t xml:space="preserve">Reformy politik, které omezují mobilitu pracovníků a zesilují nesoulad mezi kvalifikacemi - např. </w:t>
      </w:r>
      <w:proofErr w:type="gramStart"/>
      <w:r w:rsidRPr="00C82D1F">
        <w:rPr>
          <w:color w:val="333333"/>
          <w:lang w:val="en-GB" w:eastAsia="en-GB"/>
        </w:rPr>
        <w:t>podpora</w:t>
      </w:r>
      <w:proofErr w:type="gramEnd"/>
      <w:r w:rsidRPr="00C82D1F">
        <w:rPr>
          <w:color w:val="333333"/>
          <w:lang w:val="en-GB" w:eastAsia="en-GB"/>
        </w:rPr>
        <w:t xml:space="preserve"> celoživotního vzdělávání, které by mohlo vést ke zvýšení produktivity práce.</w:t>
      </w:r>
    </w:p>
    <w:p w:rsidR="001E50F1" w:rsidRPr="00C82D1F" w:rsidRDefault="001E50F1" w:rsidP="00C82D1F">
      <w:pPr>
        <w:pStyle w:val="Odstavecseseznamem"/>
        <w:numPr>
          <w:ilvl w:val="0"/>
          <w:numId w:val="12"/>
        </w:numPr>
        <w:shd w:val="clear" w:color="auto" w:fill="FFFFFF"/>
        <w:spacing w:after="360" w:line="360" w:lineRule="auto"/>
        <w:jc w:val="both"/>
        <w:rPr>
          <w:color w:val="333333"/>
          <w:lang w:val="en-GB" w:eastAsia="en-GB"/>
        </w:rPr>
      </w:pPr>
      <w:r w:rsidRPr="00C82D1F">
        <w:rPr>
          <w:color w:val="333333"/>
          <w:lang w:val="en-GB" w:eastAsia="en-GB"/>
        </w:rPr>
        <w:t xml:space="preserve">Redukce překážek v mobilitě pracovníků způsobený </w:t>
      </w:r>
      <w:r w:rsidR="00A3341F" w:rsidRPr="00C82D1F">
        <w:rPr>
          <w:color w:val="333333"/>
          <w:lang w:val="en-GB" w:eastAsia="en-GB"/>
        </w:rPr>
        <w:t>problémy</w:t>
      </w:r>
      <w:r w:rsidRPr="00C82D1F">
        <w:rPr>
          <w:rFonts w:ascii="Times New Roman" w:eastAsia="Times New Roman" w:hAnsi="Times New Roman" w:cs="Times New Roman"/>
          <w:color w:val="333333"/>
          <w:lang w:val="en-GB" w:eastAsia="en-GB"/>
        </w:rPr>
        <w:t xml:space="preserve"> na trzích s bydlením </w:t>
      </w:r>
    </w:p>
    <w:p w:rsidR="000861C3" w:rsidRDefault="000861C3" w:rsidP="000861C3">
      <w:pPr>
        <w:shd w:val="clear" w:color="auto" w:fill="FFFFFF"/>
        <w:spacing w:after="360" w:line="360" w:lineRule="auto"/>
        <w:jc w:val="both"/>
        <w:rPr>
          <w:color w:val="333333"/>
          <w:lang w:val="en-GB" w:eastAsia="en-GB"/>
        </w:rPr>
      </w:pPr>
    </w:p>
    <w:p w:rsidR="000861C3" w:rsidRDefault="000861C3" w:rsidP="000861C3">
      <w:pPr>
        <w:shd w:val="clear" w:color="auto" w:fill="FFFFFF"/>
        <w:spacing w:after="360" w:line="360" w:lineRule="auto"/>
        <w:jc w:val="both"/>
        <w:rPr>
          <w:color w:val="333333"/>
          <w:lang w:val="en-GB" w:eastAsia="en-GB"/>
        </w:rPr>
      </w:pPr>
    </w:p>
    <w:p w:rsidR="000861C3" w:rsidRDefault="000861C3" w:rsidP="000861C3">
      <w:pPr>
        <w:shd w:val="clear" w:color="auto" w:fill="FFFFFF"/>
        <w:spacing w:after="360" w:line="360" w:lineRule="auto"/>
        <w:jc w:val="both"/>
        <w:rPr>
          <w:color w:val="333333"/>
          <w:lang w:val="en-GB" w:eastAsia="en-GB"/>
        </w:rPr>
      </w:pPr>
    </w:p>
    <w:p w:rsidR="000861C3" w:rsidRDefault="000861C3" w:rsidP="000861C3">
      <w:pPr>
        <w:shd w:val="clear" w:color="auto" w:fill="FFFFFF"/>
        <w:spacing w:after="360" w:line="360" w:lineRule="auto"/>
        <w:jc w:val="both"/>
        <w:rPr>
          <w:color w:val="333333"/>
          <w:lang w:val="en-GB" w:eastAsia="en-GB"/>
        </w:rPr>
      </w:pPr>
    </w:p>
    <w:p w:rsidR="006E7AA7" w:rsidRDefault="006E7AA7" w:rsidP="000861C3">
      <w:pPr>
        <w:shd w:val="clear" w:color="auto" w:fill="FFFFFF"/>
        <w:spacing w:after="360" w:line="360" w:lineRule="auto"/>
        <w:jc w:val="both"/>
        <w:rPr>
          <w:color w:val="333333"/>
          <w:lang w:val="en-GB" w:eastAsia="en-GB"/>
        </w:rPr>
      </w:pPr>
    </w:p>
    <w:p w:rsidR="00A3341F" w:rsidRPr="00800EDC" w:rsidRDefault="000861C3" w:rsidP="000861C3">
      <w:pPr>
        <w:shd w:val="clear" w:color="auto" w:fill="FFFFFF"/>
        <w:spacing w:after="360" w:line="360" w:lineRule="auto"/>
        <w:jc w:val="both"/>
        <w:rPr>
          <w:b/>
          <w:color w:val="333333"/>
          <w:lang w:val="en-GB" w:eastAsia="en-GB"/>
        </w:rPr>
      </w:pPr>
      <w:r w:rsidRPr="00800EDC">
        <w:rPr>
          <w:b/>
          <w:color w:val="333333"/>
          <w:lang w:val="en-GB" w:eastAsia="en-GB"/>
        </w:rPr>
        <w:lastRenderedPageBreak/>
        <w:t xml:space="preserve">Produduktivita a konkurenceschopnost </w:t>
      </w:r>
    </w:p>
    <w:p w:rsidR="006E7AA7" w:rsidRDefault="000861C3" w:rsidP="00800EDC">
      <w:pPr>
        <w:shd w:val="clear" w:color="auto" w:fill="FFFFFF"/>
        <w:spacing w:line="360" w:lineRule="auto"/>
        <w:jc w:val="both"/>
        <w:rPr>
          <w:color w:val="333333"/>
          <w:lang w:val="en-GB" w:eastAsia="en-GB"/>
        </w:rPr>
      </w:pPr>
      <w:r>
        <w:rPr>
          <w:color w:val="333333"/>
          <w:lang w:val="en-GB" w:eastAsia="en-GB"/>
        </w:rPr>
        <w:t xml:space="preserve">Úroven productivity slouží take jako indikátor </w:t>
      </w:r>
      <w:proofErr w:type="gramStart"/>
      <w:r>
        <w:rPr>
          <w:color w:val="333333"/>
          <w:lang w:val="en-GB" w:eastAsia="en-GB"/>
        </w:rPr>
        <w:t>konkurenceschopnosti  z</w:t>
      </w:r>
      <w:proofErr w:type="gramEnd"/>
      <w:r>
        <w:rPr>
          <w:color w:val="333333"/>
          <w:lang w:val="en-GB" w:eastAsia="en-GB"/>
        </w:rPr>
        <w:t xml:space="preserve"> makroekonomického i mikroekonomického pohledu. </w:t>
      </w:r>
      <w:r w:rsidRPr="000861C3">
        <w:rPr>
          <w:color w:val="333333"/>
          <w:lang w:val="en-GB" w:eastAsia="en-GB"/>
        </w:rPr>
        <w:t>Konkurenceschopnost na makroekonomické úrovni</w:t>
      </w:r>
      <w:r>
        <w:rPr>
          <w:color w:val="333333"/>
          <w:lang w:val="en-GB" w:eastAsia="en-GB"/>
        </w:rPr>
        <w:t xml:space="preserve"> </w:t>
      </w:r>
      <w:proofErr w:type="gramStart"/>
      <w:r>
        <w:rPr>
          <w:color w:val="333333"/>
          <w:lang w:val="en-GB" w:eastAsia="en-GB"/>
        </w:rPr>
        <w:t xml:space="preserve">definuje </w:t>
      </w:r>
      <w:r w:rsidRPr="000861C3">
        <w:rPr>
          <w:color w:val="333333"/>
          <w:lang w:val="en-GB" w:eastAsia="en-GB"/>
        </w:rPr>
        <w:t xml:space="preserve"> OECD</w:t>
      </w:r>
      <w:proofErr w:type="gramEnd"/>
      <w:r w:rsidRPr="000861C3">
        <w:rPr>
          <w:color w:val="333333"/>
          <w:lang w:val="en-GB" w:eastAsia="en-GB"/>
        </w:rPr>
        <w:t xml:space="preserve"> </w:t>
      </w:r>
      <w:r>
        <w:rPr>
          <w:color w:val="333333"/>
          <w:lang w:val="en-GB" w:eastAsia="en-GB"/>
        </w:rPr>
        <w:t xml:space="preserve"> </w:t>
      </w:r>
      <w:r w:rsidR="00800EDC">
        <w:rPr>
          <w:color w:val="333333"/>
          <w:lang w:val="en-GB" w:eastAsia="en-GB"/>
        </w:rPr>
        <w:t xml:space="preserve">(1992) </w:t>
      </w:r>
      <w:r>
        <w:rPr>
          <w:color w:val="333333"/>
          <w:lang w:val="en-GB" w:eastAsia="en-GB"/>
        </w:rPr>
        <w:t xml:space="preserve">jako </w:t>
      </w:r>
      <w:r w:rsidRPr="000861C3">
        <w:rPr>
          <w:color w:val="333333"/>
          <w:lang w:val="en-GB" w:eastAsia="en-GB"/>
        </w:rPr>
        <w:t>schopnost</w:t>
      </w:r>
      <w:r>
        <w:rPr>
          <w:color w:val="333333"/>
          <w:lang w:val="en-GB" w:eastAsia="en-GB"/>
        </w:rPr>
        <w:t xml:space="preserve"> státu či odvětví</w:t>
      </w:r>
      <w:r w:rsidRPr="000861C3">
        <w:rPr>
          <w:color w:val="333333"/>
          <w:lang w:val="en-GB" w:eastAsia="en-GB"/>
        </w:rPr>
        <w:t xml:space="preserve"> vyrábět produkty, které mohou uspět v mezinárodní konkurenci.</w:t>
      </w:r>
    </w:p>
    <w:p w:rsidR="006E7AA7" w:rsidRDefault="006E7AA7" w:rsidP="006E7AA7">
      <w:pPr>
        <w:pStyle w:val="Nadpis1"/>
        <w:shd w:val="clear" w:color="auto" w:fill="FCFCFC"/>
        <w:spacing w:before="0" w:after="240"/>
        <w:rPr>
          <w:rFonts w:ascii="Georgia" w:hAnsi="Georgia"/>
          <w:color w:val="333333"/>
          <w:sz w:val="48"/>
          <w:szCs w:val="48"/>
        </w:rPr>
      </w:pPr>
      <w:r>
        <w:rPr>
          <w:rFonts w:ascii="Georgia" w:hAnsi="Georgia"/>
          <w:b/>
          <w:bCs/>
          <w:color w:val="333333"/>
        </w:rPr>
        <w:t>Kauzální dopad produktivity materiálu na makroekonomickou konkurenceschopnost v Evropské unii</w:t>
      </w:r>
    </w:p>
    <w:p w:rsidR="006E7AA7" w:rsidRDefault="006E7AA7" w:rsidP="006E7AA7">
      <w:pPr>
        <w:numPr>
          <w:ilvl w:val="0"/>
          <w:numId w:val="13"/>
        </w:numPr>
        <w:shd w:val="clear" w:color="auto" w:fill="FCFCFC"/>
        <w:spacing w:before="100" w:beforeAutospacing="1" w:after="100" w:afterAutospacing="1"/>
        <w:rPr>
          <w:rFonts w:ascii="Segoe UI" w:hAnsi="Segoe UI" w:cs="Segoe UI"/>
          <w:color w:val="333333"/>
        </w:rPr>
      </w:pPr>
      <w:hyperlink r:id="rId13" w:anchor="auth-Florian-Flachenecker" w:history="1">
        <w:r>
          <w:rPr>
            <w:rStyle w:val="Hypertextovodkaz"/>
            <w:rFonts w:ascii="Segoe UI" w:hAnsi="Segoe UI" w:cs="Segoe UI"/>
            <w:color w:val="0061A9"/>
            <w:u w:val="none"/>
          </w:rPr>
          <w:t>Florian Flachenecker</w:t>
        </w:r>
      </w:hyperlink>
    </w:p>
    <w:p w:rsidR="006E7AA7" w:rsidRDefault="00E46587" w:rsidP="00800EDC">
      <w:pPr>
        <w:shd w:val="clear" w:color="auto" w:fill="FFFFFF"/>
        <w:spacing w:line="360" w:lineRule="auto"/>
        <w:jc w:val="both"/>
        <w:rPr>
          <w:color w:val="333333"/>
          <w:lang w:val="en-GB" w:eastAsia="en-GB"/>
        </w:rPr>
      </w:pPr>
      <w:r>
        <w:rPr>
          <w:color w:val="333333"/>
          <w:lang w:val="en-GB" w:eastAsia="en-GB"/>
        </w:rPr>
        <w:t xml:space="preserve">Flachenecker (2017) vymezil </w:t>
      </w:r>
      <w:r w:rsidR="006E7AA7">
        <w:rPr>
          <w:rFonts w:ascii="Georgia" w:hAnsi="Georgia"/>
          <w:color w:val="333333"/>
          <w:sz w:val="27"/>
          <w:szCs w:val="27"/>
          <w:shd w:val="clear" w:color="auto" w:fill="FCFCFC"/>
        </w:rPr>
        <w:t xml:space="preserve"> šest ukazatelů , které aproximují různá chápání makroekonomické konkurenceschopnosti: (1) hrubý domácí produkt (HDP) na obyvatele, (2) nezaměstnanostsazba, (3) mzdy na obyvatele (všechny tři odrážející schopnost ekonomiky vytvářet blahobyt), (4) investice do výzkumu a vývoje (VaV) odkazující na Porterův koncept neustálých inovací a modernizací, (5) běžný účet představující konvenční ukazatel cenové konkurenceschopnosti a (6) index globální konkurenceschopnosti (GCI)</w:t>
      </w:r>
    </w:p>
    <w:p w:rsidR="006E7AA7" w:rsidRDefault="006E7AA7" w:rsidP="00800EDC">
      <w:pPr>
        <w:shd w:val="clear" w:color="auto" w:fill="FFFFFF"/>
        <w:spacing w:line="360" w:lineRule="auto"/>
        <w:jc w:val="both"/>
        <w:rPr>
          <w:color w:val="333333"/>
          <w:lang w:val="en-GB" w:eastAsia="en-GB"/>
        </w:rPr>
      </w:pPr>
    </w:p>
    <w:p w:rsidR="000861C3" w:rsidRDefault="000861C3" w:rsidP="00800EDC">
      <w:pPr>
        <w:shd w:val="clear" w:color="auto" w:fill="FFFFFF"/>
        <w:spacing w:line="360" w:lineRule="auto"/>
        <w:jc w:val="both"/>
        <w:rPr>
          <w:color w:val="333333"/>
          <w:lang w:val="en-GB" w:eastAsia="en-GB"/>
        </w:rPr>
      </w:pPr>
      <w:r>
        <w:rPr>
          <w:color w:val="333333"/>
          <w:lang w:val="en-GB" w:eastAsia="en-GB"/>
        </w:rPr>
        <w:t xml:space="preserve"> Mikroekonomickou konku</w:t>
      </w:r>
      <w:bookmarkStart w:id="0" w:name="_GoBack"/>
      <w:bookmarkEnd w:id="0"/>
      <w:r>
        <w:rPr>
          <w:color w:val="333333"/>
          <w:lang w:val="en-GB" w:eastAsia="en-GB"/>
        </w:rPr>
        <w:t>renceschopnost je možné definovat jako</w:t>
      </w:r>
      <w:r w:rsidRPr="000861C3">
        <w:rPr>
          <w:color w:val="333333"/>
          <w:lang w:val="en-GB" w:eastAsia="en-GB"/>
        </w:rPr>
        <w:t xml:space="preserve"> schopnost podniku konkurovat</w:t>
      </w:r>
      <w:r>
        <w:rPr>
          <w:color w:val="333333"/>
          <w:lang w:val="en-GB" w:eastAsia="en-GB"/>
        </w:rPr>
        <w:t xml:space="preserve"> </w:t>
      </w:r>
      <w:proofErr w:type="gramStart"/>
      <w:r w:rsidRPr="000861C3">
        <w:rPr>
          <w:color w:val="333333"/>
          <w:lang w:val="en-GB" w:eastAsia="en-GB"/>
        </w:rPr>
        <w:t>na</w:t>
      </w:r>
      <w:proofErr w:type="gramEnd"/>
      <w:r w:rsidRPr="000861C3">
        <w:rPr>
          <w:color w:val="333333"/>
          <w:lang w:val="en-GB" w:eastAsia="en-GB"/>
        </w:rPr>
        <w:t xml:space="preserve"> trhu, růst a dlouhodobě dosahovat zisku. </w:t>
      </w:r>
      <w:r w:rsidR="00800EDC" w:rsidRPr="00800EDC">
        <w:rPr>
          <w:color w:val="333333"/>
          <w:lang w:val="en-GB" w:eastAsia="en-GB"/>
        </w:rPr>
        <w:t xml:space="preserve">Je velmi mnoho </w:t>
      </w:r>
      <w:r w:rsidR="00800EDC" w:rsidRPr="00800EDC">
        <w:rPr>
          <w:color w:val="333333"/>
          <w:lang w:val="en-GB" w:eastAsia="en-GB"/>
        </w:rPr>
        <w:t>přístupů</w:t>
      </w:r>
      <w:r w:rsidR="00800EDC">
        <w:rPr>
          <w:color w:val="333333"/>
          <w:lang w:val="en-GB" w:eastAsia="en-GB"/>
        </w:rPr>
        <w:t>,</w:t>
      </w:r>
      <w:r w:rsidR="00800EDC" w:rsidRPr="00800EDC">
        <w:rPr>
          <w:color w:val="333333"/>
          <w:lang w:val="en-GB" w:eastAsia="en-GB"/>
        </w:rPr>
        <w:t xml:space="preserve"> </w:t>
      </w:r>
      <w:r w:rsidR="00800EDC" w:rsidRPr="00800EDC">
        <w:rPr>
          <w:color w:val="333333"/>
          <w:lang w:val="en-GB" w:eastAsia="en-GB"/>
        </w:rPr>
        <w:t xml:space="preserve">které </w:t>
      </w:r>
      <w:r w:rsidR="00800EDC" w:rsidRPr="00800EDC">
        <w:rPr>
          <w:color w:val="333333"/>
          <w:lang w:val="en-GB" w:eastAsia="en-GB"/>
        </w:rPr>
        <w:t>lze použít k měření konkurenceschopnosti podniku. V současné době se používají dva hlavní systémy, které se používají k</w:t>
      </w:r>
      <w:r w:rsidR="00800EDC" w:rsidRPr="00800EDC">
        <w:rPr>
          <w:color w:val="333333"/>
          <w:lang w:val="en-GB" w:eastAsia="en-GB"/>
        </w:rPr>
        <w:t> </w:t>
      </w:r>
      <w:r w:rsidR="00800EDC" w:rsidRPr="00800EDC">
        <w:rPr>
          <w:color w:val="333333"/>
          <w:lang w:val="en-GB" w:eastAsia="en-GB"/>
        </w:rPr>
        <w:t>měření</w:t>
      </w:r>
      <w:r w:rsidR="00800EDC" w:rsidRPr="00800EDC">
        <w:rPr>
          <w:color w:val="333333"/>
          <w:lang w:val="en-GB" w:eastAsia="en-GB"/>
        </w:rPr>
        <w:t xml:space="preserve"> </w:t>
      </w:r>
      <w:r w:rsidR="00800EDC">
        <w:rPr>
          <w:color w:val="333333"/>
          <w:lang w:val="en-GB" w:eastAsia="en-GB"/>
        </w:rPr>
        <w:t>k</w:t>
      </w:r>
      <w:r w:rsidR="00800EDC" w:rsidRPr="00800EDC">
        <w:rPr>
          <w:color w:val="333333"/>
          <w:lang w:val="en-GB" w:eastAsia="en-GB"/>
        </w:rPr>
        <w:t xml:space="preserve">onkurenceschopnosti: systémy založené </w:t>
      </w:r>
      <w:proofErr w:type="gramStart"/>
      <w:r w:rsidR="00800EDC" w:rsidRPr="00800EDC">
        <w:rPr>
          <w:color w:val="333333"/>
          <w:lang w:val="en-GB" w:eastAsia="en-GB"/>
        </w:rPr>
        <w:t>na</w:t>
      </w:r>
      <w:proofErr w:type="gramEnd"/>
      <w:r w:rsidR="00800EDC" w:rsidRPr="00800EDC">
        <w:rPr>
          <w:color w:val="333333"/>
          <w:lang w:val="en-GB" w:eastAsia="en-GB"/>
        </w:rPr>
        <w:t xml:space="preserve"> finančních ukazatelích a systémy systémy založené na aplikaci nefinančních ukazatelů</w:t>
      </w:r>
      <w:r w:rsidR="00800EDC">
        <w:rPr>
          <w:color w:val="333333"/>
          <w:lang w:val="en-GB" w:eastAsia="en-GB"/>
        </w:rPr>
        <w:t xml:space="preserve"> (Sedláček, 2015)</w:t>
      </w:r>
      <w:r w:rsidR="00800EDC" w:rsidRPr="00800EDC">
        <w:rPr>
          <w:color w:val="333333"/>
          <w:lang w:val="en-GB" w:eastAsia="en-GB"/>
        </w:rPr>
        <w:t>. V podnikatelské praxi se používá velké množství různých ukazatelů finanční analýzy nebo ukazatelů, které slouží k měření konkurenceschopnosti a zobrazují ekonomickou situaci podniku. Jedním z těchto fin</w:t>
      </w:r>
      <w:r w:rsidR="00800EDC">
        <w:rPr>
          <w:color w:val="333333"/>
          <w:lang w:val="en-GB" w:eastAsia="en-GB"/>
        </w:rPr>
        <w:t>ančních ukazatelů může být právě</w:t>
      </w:r>
      <w:r w:rsidR="00800EDC" w:rsidRPr="00800EDC">
        <w:rPr>
          <w:color w:val="333333"/>
          <w:lang w:val="en-GB" w:eastAsia="en-GB"/>
        </w:rPr>
        <w:t xml:space="preserve"> ukazatel produktivity. </w:t>
      </w:r>
    </w:p>
    <w:p w:rsidR="00800EDC" w:rsidRDefault="00800EDC" w:rsidP="00800EDC">
      <w:pPr>
        <w:shd w:val="clear" w:color="auto" w:fill="FFFFFF"/>
        <w:spacing w:line="360" w:lineRule="auto"/>
        <w:jc w:val="both"/>
        <w:rPr>
          <w:color w:val="333333"/>
          <w:lang w:val="en-GB" w:eastAsia="en-GB"/>
        </w:rPr>
      </w:pPr>
    </w:p>
    <w:p w:rsidR="000861C3" w:rsidRDefault="00CF54C1" w:rsidP="00CF54C1">
      <w:pPr>
        <w:shd w:val="clear" w:color="auto" w:fill="FFFFFF"/>
        <w:spacing w:after="360" w:line="360" w:lineRule="auto"/>
        <w:jc w:val="both"/>
        <w:rPr>
          <w:color w:val="333333"/>
          <w:lang w:val="en-GB" w:eastAsia="en-GB"/>
        </w:rPr>
      </w:pPr>
      <w:r w:rsidRPr="00CF54C1">
        <w:rPr>
          <w:color w:val="333333"/>
          <w:lang w:val="en-GB" w:eastAsia="en-GB"/>
        </w:rPr>
        <w:t>Národní i firemní konkurenceschopnost je výsledkem</w:t>
      </w:r>
      <w:r>
        <w:rPr>
          <w:color w:val="333333"/>
          <w:lang w:val="en-GB" w:eastAsia="en-GB"/>
        </w:rPr>
        <w:t xml:space="preserve"> </w:t>
      </w:r>
      <w:r w:rsidRPr="00CF54C1">
        <w:rPr>
          <w:color w:val="333333"/>
          <w:lang w:val="en-GB" w:eastAsia="en-GB"/>
        </w:rPr>
        <w:t>vládní politiky a tržních faktorů. Vhodná vláda</w:t>
      </w:r>
      <w:r>
        <w:rPr>
          <w:color w:val="333333"/>
          <w:lang w:val="en-GB" w:eastAsia="en-GB"/>
        </w:rPr>
        <w:t xml:space="preserve"> </w:t>
      </w:r>
      <w:r w:rsidRPr="00CF54C1">
        <w:rPr>
          <w:color w:val="333333"/>
          <w:lang w:val="en-GB" w:eastAsia="en-GB"/>
        </w:rPr>
        <w:t>politiky mohou výrazně přispět k růstu. Konkurenceschopnost</w:t>
      </w:r>
      <w:r>
        <w:rPr>
          <w:color w:val="333333"/>
          <w:lang w:val="en-GB" w:eastAsia="en-GB"/>
        </w:rPr>
        <w:t xml:space="preserve"> </w:t>
      </w:r>
      <w:r w:rsidRPr="00CF54C1">
        <w:rPr>
          <w:color w:val="333333"/>
          <w:lang w:val="en-GB" w:eastAsia="en-GB"/>
        </w:rPr>
        <w:t>ekonomiky vyžadují stabilní a zdravé makroekonomické podmínky.Vládní politika má mnoho určujících faktorů. Krátkodobé</w:t>
      </w:r>
      <w:r w:rsidR="00942A81">
        <w:rPr>
          <w:color w:val="333333"/>
          <w:lang w:val="en-GB" w:eastAsia="en-GB"/>
        </w:rPr>
        <w:t xml:space="preserve"> </w:t>
      </w:r>
      <w:r w:rsidRPr="00CF54C1">
        <w:rPr>
          <w:color w:val="333333"/>
          <w:lang w:val="en-GB" w:eastAsia="en-GB"/>
        </w:rPr>
        <w:t>konkurenceschopnosti lze dosáhnout prostřednictví</w:t>
      </w:r>
      <w:r w:rsidR="00942A81">
        <w:rPr>
          <w:color w:val="333333"/>
          <w:lang w:val="en-GB" w:eastAsia="en-GB"/>
        </w:rPr>
        <w:t xml:space="preserve">m relativní nákladové výhody, </w:t>
      </w:r>
      <w:r w:rsidRPr="00CF54C1">
        <w:rPr>
          <w:color w:val="333333"/>
          <w:lang w:val="en-GB" w:eastAsia="en-GB"/>
        </w:rPr>
        <w:t xml:space="preserve">směnných kurzů </w:t>
      </w:r>
      <w:proofErr w:type="gramStart"/>
      <w:r w:rsidRPr="00CF54C1">
        <w:rPr>
          <w:color w:val="333333"/>
          <w:lang w:val="en-GB" w:eastAsia="en-GB"/>
        </w:rPr>
        <w:t>a</w:t>
      </w:r>
      <w:proofErr w:type="gramEnd"/>
      <w:r w:rsidRPr="00CF54C1">
        <w:rPr>
          <w:color w:val="333333"/>
          <w:lang w:val="en-GB" w:eastAsia="en-GB"/>
        </w:rPr>
        <w:t xml:space="preserve"> agresivního rozvoje exportního obchodu. Nicméně</w:t>
      </w:r>
      <w:proofErr w:type="gramStart"/>
      <w:r w:rsidRPr="00CF54C1">
        <w:rPr>
          <w:color w:val="333333"/>
          <w:lang w:val="en-GB" w:eastAsia="en-GB"/>
        </w:rPr>
        <w:t>,relativní</w:t>
      </w:r>
      <w:proofErr w:type="gramEnd"/>
      <w:r w:rsidRPr="00CF54C1">
        <w:rPr>
          <w:color w:val="333333"/>
          <w:lang w:val="en-GB" w:eastAsia="en-GB"/>
        </w:rPr>
        <w:t xml:space="preserve"> náklady nebo </w:t>
      </w:r>
      <w:r w:rsidRPr="00CF54C1">
        <w:rPr>
          <w:color w:val="333333"/>
          <w:lang w:val="en-GB" w:eastAsia="en-GB"/>
        </w:rPr>
        <w:lastRenderedPageBreak/>
        <w:t>cena samy o sobě neurčují dlouhodobou</w:t>
      </w:r>
      <w:r w:rsidR="00942A81">
        <w:rPr>
          <w:color w:val="333333"/>
          <w:lang w:val="en-GB" w:eastAsia="en-GB"/>
        </w:rPr>
        <w:t xml:space="preserve"> </w:t>
      </w:r>
      <w:r w:rsidRPr="00CF54C1">
        <w:rPr>
          <w:color w:val="333333"/>
          <w:lang w:val="en-GB" w:eastAsia="en-GB"/>
        </w:rPr>
        <w:t>konkurenceschopnost.  Nejkonkurenceschopnější země se rovněž vyznačují flexibilním trhem práce</w:t>
      </w:r>
      <w:proofErr w:type="gramStart"/>
      <w:r w:rsidRPr="00CF54C1">
        <w:rPr>
          <w:color w:val="333333"/>
          <w:lang w:val="en-GB" w:eastAsia="en-GB"/>
        </w:rPr>
        <w:t>,  kvalitou</w:t>
      </w:r>
      <w:proofErr w:type="gramEnd"/>
      <w:r w:rsidRPr="00CF54C1">
        <w:rPr>
          <w:color w:val="333333"/>
          <w:lang w:val="en-GB" w:eastAsia="en-GB"/>
        </w:rPr>
        <w:t xml:space="preserve"> vztahů mezi odvětvími a nízkým zdanění práce</w:t>
      </w:r>
      <w:r w:rsidR="00942A81">
        <w:rPr>
          <w:color w:val="333333"/>
          <w:lang w:val="en-GB" w:eastAsia="en-GB"/>
        </w:rPr>
        <w:t>(</w:t>
      </w:r>
      <w:r w:rsidR="00942A81" w:rsidRPr="00942A81">
        <w:rPr>
          <w:color w:val="333333"/>
          <w:lang w:val="en-GB" w:eastAsia="en-GB"/>
        </w:rPr>
        <w:t>Armenia: Productivity and Competitiveness</w:t>
      </w:r>
      <w:r w:rsidR="00942A81">
        <w:rPr>
          <w:color w:val="333333"/>
          <w:lang w:val="en-GB" w:eastAsia="en-GB"/>
        </w:rPr>
        <w:t xml:space="preserve"> 2008)</w:t>
      </w:r>
    </w:p>
    <w:p w:rsidR="006E7AA7" w:rsidRDefault="006E7AA7" w:rsidP="00CF54C1">
      <w:pPr>
        <w:shd w:val="clear" w:color="auto" w:fill="FFFFFF"/>
        <w:spacing w:after="360" w:line="360" w:lineRule="auto"/>
        <w:jc w:val="both"/>
        <w:rPr>
          <w:color w:val="333333"/>
          <w:lang w:val="en-GB" w:eastAsia="en-GB"/>
        </w:rPr>
      </w:pPr>
    </w:p>
    <w:p w:rsidR="006E7AA7" w:rsidRDefault="006E7AA7" w:rsidP="00CF54C1">
      <w:pPr>
        <w:shd w:val="clear" w:color="auto" w:fill="FFFFFF"/>
        <w:spacing w:after="360" w:line="360" w:lineRule="auto"/>
        <w:jc w:val="both"/>
        <w:rPr>
          <w:color w:val="333333"/>
          <w:lang w:val="en-GB" w:eastAsia="en-GB"/>
        </w:rPr>
      </w:pPr>
    </w:p>
    <w:p w:rsidR="006E7AA7" w:rsidRDefault="006E7AA7" w:rsidP="00CF54C1">
      <w:pPr>
        <w:shd w:val="clear" w:color="auto" w:fill="FFFFFF"/>
        <w:spacing w:after="360" w:line="360" w:lineRule="auto"/>
        <w:jc w:val="both"/>
        <w:rPr>
          <w:color w:val="333333"/>
          <w:lang w:val="en-GB" w:eastAsia="en-GB"/>
        </w:rPr>
      </w:pPr>
    </w:p>
    <w:p w:rsidR="006E7AA7" w:rsidRDefault="006E7AA7" w:rsidP="00CF54C1">
      <w:pPr>
        <w:shd w:val="clear" w:color="auto" w:fill="FFFFFF"/>
        <w:spacing w:after="360" w:line="360" w:lineRule="auto"/>
        <w:jc w:val="both"/>
        <w:rPr>
          <w:color w:val="333333"/>
          <w:lang w:val="en-GB" w:eastAsia="en-GB"/>
        </w:rPr>
      </w:pPr>
    </w:p>
    <w:p w:rsidR="006E7AA7" w:rsidRDefault="006E7AA7" w:rsidP="00CF54C1">
      <w:pPr>
        <w:shd w:val="clear" w:color="auto" w:fill="FFFFFF"/>
        <w:spacing w:after="360" w:line="360" w:lineRule="auto"/>
        <w:jc w:val="both"/>
        <w:rPr>
          <w:color w:val="333333"/>
          <w:lang w:val="en-GB" w:eastAsia="en-GB"/>
        </w:rPr>
      </w:pPr>
    </w:p>
    <w:p w:rsidR="006E7AA7" w:rsidRPr="000861C3" w:rsidRDefault="006E7AA7" w:rsidP="00CF54C1">
      <w:pPr>
        <w:shd w:val="clear" w:color="auto" w:fill="FFFFFF"/>
        <w:spacing w:after="360" w:line="360" w:lineRule="auto"/>
        <w:jc w:val="both"/>
        <w:rPr>
          <w:color w:val="333333"/>
          <w:lang w:val="en-GB" w:eastAsia="en-GB"/>
        </w:rPr>
      </w:pPr>
    </w:p>
    <w:p w:rsidR="00CB76CA" w:rsidRPr="00E54D02" w:rsidRDefault="009E57EE" w:rsidP="00E54D02">
      <w:pPr>
        <w:pStyle w:val="Odstavecseseznamem"/>
        <w:numPr>
          <w:ilvl w:val="1"/>
          <w:numId w:val="2"/>
        </w:numPr>
        <w:shd w:val="clear" w:color="auto" w:fill="FFFFFF"/>
        <w:spacing w:after="360" w:line="360" w:lineRule="auto"/>
        <w:rPr>
          <w:rFonts w:ascii="Times New Roman" w:hAnsi="Times New Roman" w:cs="Times New Roman"/>
          <w:color w:val="333333"/>
          <w:sz w:val="24"/>
          <w:szCs w:val="24"/>
          <w:lang w:val="en-GB" w:eastAsia="en-GB"/>
        </w:rPr>
      </w:pPr>
      <w:r w:rsidRPr="00E54D02">
        <w:rPr>
          <w:rFonts w:ascii="Times New Roman" w:hAnsi="Times New Roman" w:cs="Times New Roman"/>
          <w:color w:val="333333"/>
          <w:sz w:val="24"/>
          <w:szCs w:val="24"/>
          <w:lang w:val="en-GB" w:eastAsia="en-GB"/>
        </w:rPr>
        <w:t>P</w:t>
      </w:r>
      <w:r w:rsidR="00F772EA" w:rsidRPr="00E54D02">
        <w:rPr>
          <w:rFonts w:ascii="Times New Roman" w:hAnsi="Times New Roman" w:cs="Times New Roman"/>
          <w:color w:val="333333"/>
          <w:sz w:val="24"/>
          <w:szCs w:val="24"/>
          <w:lang w:val="en-GB" w:eastAsia="en-GB"/>
        </w:rPr>
        <w:t>o</w:t>
      </w:r>
      <w:r w:rsidR="00CB76CA" w:rsidRPr="00E54D02">
        <w:rPr>
          <w:rFonts w:ascii="Times New Roman" w:hAnsi="Times New Roman" w:cs="Times New Roman"/>
          <w:color w:val="333333"/>
          <w:sz w:val="24"/>
          <w:szCs w:val="24"/>
          <w:lang w:val="en-GB" w:eastAsia="en-GB"/>
        </w:rPr>
        <w:t xml:space="preserve">dukční funkce a produktivita   </w:t>
      </w:r>
    </w:p>
    <w:p w:rsidR="00F772EA" w:rsidRPr="00E54D02" w:rsidRDefault="00F772EA" w:rsidP="00E54D02">
      <w:pPr>
        <w:shd w:val="clear" w:color="auto" w:fill="FFFFFF"/>
        <w:spacing w:after="360" w:line="360" w:lineRule="auto"/>
        <w:jc w:val="both"/>
        <w:rPr>
          <w:color w:val="333333"/>
          <w:lang w:val="en-GB" w:eastAsia="en-GB"/>
        </w:rPr>
      </w:pPr>
      <w:r w:rsidRPr="00E54D02">
        <w:rPr>
          <w:color w:val="333333"/>
          <w:lang w:val="en-GB" w:eastAsia="en-GB"/>
        </w:rPr>
        <w:t>Z</w:t>
      </w:r>
      <w:r w:rsidR="007653C5" w:rsidRPr="00E54D02">
        <w:rPr>
          <w:color w:val="333333"/>
          <w:lang w:val="en-GB" w:eastAsia="en-GB"/>
        </w:rPr>
        <w:t>ákladními výrobními faktory využívánými v ekonomikách států a podnicích</w:t>
      </w:r>
      <w:r w:rsidRPr="00E54D02">
        <w:rPr>
          <w:color w:val="333333"/>
          <w:lang w:val="en-GB" w:eastAsia="en-GB"/>
        </w:rPr>
        <w:t xml:space="preserve"> jsou </w:t>
      </w:r>
      <w:r w:rsidR="00CB76CA" w:rsidRPr="00E54D02">
        <w:rPr>
          <w:color w:val="333333"/>
          <w:lang w:val="en-GB" w:eastAsia="en-GB"/>
        </w:rPr>
        <w:t>práce, půda (přírodní zdroje) a kaptitál. Tyto nejčastěji uváděně výrobních faktory častou jsou doplňovány o další jako jsou technologie</w:t>
      </w:r>
      <w:proofErr w:type="gramStart"/>
      <w:r w:rsidR="003A0806" w:rsidRPr="00E54D02">
        <w:rPr>
          <w:color w:val="333333"/>
          <w:lang w:val="en-GB" w:eastAsia="en-GB"/>
        </w:rPr>
        <w:t xml:space="preserve">, </w:t>
      </w:r>
      <w:r w:rsidR="00CB76CA" w:rsidRPr="00E54D02">
        <w:rPr>
          <w:color w:val="333333"/>
          <w:lang w:val="en-GB" w:eastAsia="en-GB"/>
        </w:rPr>
        <w:t xml:space="preserve"> podnikavost</w:t>
      </w:r>
      <w:proofErr w:type="gramEnd"/>
      <w:r w:rsidR="001E073E" w:rsidRPr="00E54D02">
        <w:rPr>
          <w:color w:val="333333"/>
          <w:lang w:val="en-GB" w:eastAsia="en-GB"/>
        </w:rPr>
        <w:t xml:space="preserve"> či životní prostředí (environment)</w:t>
      </w:r>
      <w:r w:rsidR="00CB76CA" w:rsidRPr="00E54D02">
        <w:rPr>
          <w:color w:val="333333"/>
          <w:lang w:val="en-GB" w:eastAsia="en-GB"/>
        </w:rPr>
        <w:t xml:space="preserve">. </w:t>
      </w:r>
    </w:p>
    <w:p w:rsidR="00F772EA" w:rsidRPr="00E54D02" w:rsidRDefault="00F772EA" w:rsidP="00E54D02">
      <w:pPr>
        <w:shd w:val="clear" w:color="auto" w:fill="FFFFFF"/>
        <w:spacing w:after="360" w:line="360" w:lineRule="auto"/>
        <w:rPr>
          <w:b/>
          <w:color w:val="333333"/>
          <w:lang w:val="en-GB" w:eastAsia="en-GB"/>
        </w:rPr>
      </w:pPr>
      <w:r w:rsidRPr="00E54D02">
        <w:rPr>
          <w:b/>
          <w:color w:val="333333"/>
          <w:lang w:val="en-GB" w:eastAsia="en-GB"/>
        </w:rPr>
        <w:t>Práce</w:t>
      </w:r>
    </w:p>
    <w:p w:rsidR="00F772EA" w:rsidRPr="00E54D02" w:rsidRDefault="007653C5" w:rsidP="00E54D02">
      <w:pPr>
        <w:shd w:val="clear" w:color="auto" w:fill="FFFFFF"/>
        <w:spacing w:after="360" w:line="360" w:lineRule="auto"/>
        <w:jc w:val="both"/>
        <w:rPr>
          <w:color w:val="333333"/>
          <w:lang w:val="en-GB" w:eastAsia="en-GB"/>
        </w:rPr>
      </w:pPr>
      <w:r w:rsidRPr="00E54D02">
        <w:rPr>
          <w:color w:val="333333"/>
          <w:lang w:val="en-GB" w:eastAsia="en-GB"/>
        </w:rPr>
        <w:t xml:space="preserve">Práce je primárním výrobním faktorem, kdy základem je lidská práce. </w:t>
      </w:r>
      <w:r w:rsidR="001E073E" w:rsidRPr="00E54D02">
        <w:rPr>
          <w:color w:val="333333"/>
          <w:lang w:val="en-GB" w:eastAsia="en-GB"/>
        </w:rPr>
        <w:t xml:space="preserve">Práce zahrnuje všechny druhy práce vykonávané za odměnu ve formě mzdy či platu. Jde tedy o duševní a fyzická námahu. </w:t>
      </w:r>
      <w:r w:rsidR="003A0806" w:rsidRPr="00E54D02">
        <w:rPr>
          <w:color w:val="333333"/>
          <w:lang w:val="en-GB" w:eastAsia="en-GB"/>
        </w:rPr>
        <w:t>Efektivitu využití lidské práce lze měřit již uvedenou produktivitou práce. Z hlediska productivity má p</w:t>
      </w:r>
      <w:r w:rsidR="00F772EA" w:rsidRPr="00E54D02">
        <w:rPr>
          <w:color w:val="333333"/>
          <w:lang w:val="en-GB" w:eastAsia="en-GB"/>
        </w:rPr>
        <w:t>ráce</w:t>
      </w:r>
      <w:r w:rsidR="003A0806" w:rsidRPr="00E54D02">
        <w:rPr>
          <w:color w:val="333333"/>
          <w:lang w:val="en-GB" w:eastAsia="en-GB"/>
        </w:rPr>
        <w:t xml:space="preserve"> (množství pracovníků)</w:t>
      </w:r>
      <w:r w:rsidR="00F772EA" w:rsidRPr="00E54D02">
        <w:rPr>
          <w:color w:val="333333"/>
          <w:lang w:val="en-GB" w:eastAsia="en-GB"/>
        </w:rPr>
        <w:t xml:space="preserve"> tendenci přesouvat se z odvětví s nízkou průměrnou produktivitou do odvětví sdo odvětví s vysokou průměrnou produktivitou. Taková strukturální transformace vytváří pozitivní efekt </w:t>
      </w:r>
      <w:proofErr w:type="gramStart"/>
      <w:r w:rsidR="00F772EA" w:rsidRPr="00E54D02">
        <w:rPr>
          <w:color w:val="333333"/>
          <w:lang w:val="en-GB" w:eastAsia="en-GB"/>
        </w:rPr>
        <w:t>na</w:t>
      </w:r>
      <w:proofErr w:type="gramEnd"/>
      <w:r w:rsidR="00F772EA" w:rsidRPr="00E54D02">
        <w:rPr>
          <w:color w:val="333333"/>
          <w:lang w:val="en-GB" w:eastAsia="en-GB"/>
        </w:rPr>
        <w:t xml:space="preserve"> celkovou produktivitu. Jedná se o příklad realokačního efektu, který je definován jako změna agregátní produktivity vyplývající z posunů ve složení výstupu nebo produkce</w:t>
      </w:r>
      <w:r w:rsidR="003A0806" w:rsidRPr="00E54D02">
        <w:rPr>
          <w:color w:val="333333"/>
          <w:lang w:val="en-GB" w:eastAsia="en-GB"/>
        </w:rPr>
        <w:t xml:space="preserve"> a</w:t>
      </w:r>
      <w:r w:rsidR="00F772EA" w:rsidRPr="00E54D02">
        <w:rPr>
          <w:color w:val="333333"/>
          <w:lang w:val="en-GB" w:eastAsia="en-GB"/>
        </w:rPr>
        <w:t xml:space="preserve"> zaměstnanosti mezi odvětvími s různou úrovní produktivity. To se liší </w:t>
      </w:r>
      <w:proofErr w:type="gramStart"/>
      <w:r w:rsidR="00F772EA" w:rsidRPr="00E54D02">
        <w:rPr>
          <w:color w:val="333333"/>
          <w:lang w:val="en-GB" w:eastAsia="en-GB"/>
        </w:rPr>
        <w:t>od</w:t>
      </w:r>
      <w:proofErr w:type="gramEnd"/>
      <w:r w:rsidR="00F772EA" w:rsidRPr="00E54D02">
        <w:rPr>
          <w:color w:val="333333"/>
          <w:lang w:val="en-GB" w:eastAsia="en-GB"/>
        </w:rPr>
        <w:t xml:space="preserve"> vnitroodvětvového efektu, který je definován jako změna agregátní produktivity v důsledku přesunu produktivity mezi odvětvími v rámci jednotlivých odvětví (</w:t>
      </w:r>
      <w:r w:rsidR="00F772EA" w:rsidRPr="00E54D02">
        <w:t>Roncolato &amp; Kucera, 2013)</w:t>
      </w:r>
      <w:r w:rsidR="001E073E" w:rsidRPr="00E54D02">
        <w:t>.</w:t>
      </w:r>
    </w:p>
    <w:p w:rsidR="00F772EA" w:rsidRPr="00E54D02" w:rsidRDefault="00F772EA" w:rsidP="00E54D02">
      <w:pPr>
        <w:shd w:val="clear" w:color="auto" w:fill="FFFFFF"/>
        <w:spacing w:after="360" w:line="360" w:lineRule="auto"/>
        <w:rPr>
          <w:color w:val="333333"/>
          <w:lang w:val="en-GB" w:eastAsia="en-GB"/>
        </w:rPr>
      </w:pPr>
      <w:r w:rsidRPr="00E54D02">
        <w:rPr>
          <w:color w:val="333333"/>
          <w:lang w:val="en-GB" w:eastAsia="en-GB"/>
        </w:rPr>
        <w:lastRenderedPageBreak/>
        <w:t>Kapitál</w:t>
      </w:r>
    </w:p>
    <w:p w:rsidR="00BB3C16" w:rsidRPr="00E54D02" w:rsidRDefault="00BB3C16" w:rsidP="00E54D02">
      <w:pPr>
        <w:shd w:val="clear" w:color="auto" w:fill="FFFFFF"/>
        <w:spacing w:after="360" w:line="360" w:lineRule="auto"/>
        <w:jc w:val="both"/>
        <w:rPr>
          <w:color w:val="333333"/>
          <w:lang w:val="en-GB" w:eastAsia="en-GB"/>
        </w:rPr>
      </w:pPr>
      <w:r w:rsidRPr="00E54D02">
        <w:rPr>
          <w:color w:val="333333"/>
          <w:lang w:val="en-GB" w:eastAsia="en-GB"/>
        </w:rPr>
        <w:t>Kapitál je jedním z nejdůležitějších výrobních faktorů při provádění výrobní (produkční</w:t>
      </w:r>
      <w:r w:rsidR="00747662" w:rsidRPr="00E54D02">
        <w:rPr>
          <w:color w:val="333333"/>
          <w:lang w:val="en-GB" w:eastAsia="en-GB"/>
        </w:rPr>
        <w:t>) činnosti</w:t>
      </w:r>
      <w:r w:rsidRPr="00E54D02">
        <w:rPr>
          <w:color w:val="333333"/>
          <w:lang w:val="en-GB" w:eastAsia="en-GB"/>
        </w:rPr>
        <w:t>.</w:t>
      </w:r>
      <w:r w:rsidR="00205BB5" w:rsidRPr="00E54D02">
        <w:rPr>
          <w:color w:val="333333"/>
          <w:lang w:val="en-GB" w:eastAsia="en-GB"/>
        </w:rPr>
        <w:t xml:space="preserve">  Kapitál je často vstupe</w:t>
      </w:r>
      <w:r w:rsidR="00747662" w:rsidRPr="00E54D02">
        <w:rPr>
          <w:color w:val="333333"/>
          <w:lang w:val="en-GB" w:eastAsia="en-GB"/>
        </w:rPr>
        <w:t>m</w:t>
      </w:r>
      <w:r w:rsidR="00205BB5" w:rsidRPr="00E54D02">
        <w:rPr>
          <w:color w:val="333333"/>
          <w:lang w:val="en-GB" w:eastAsia="en-GB"/>
        </w:rPr>
        <w:t xml:space="preserve">, ale </w:t>
      </w:r>
      <w:r w:rsidR="00747662" w:rsidRPr="00E54D02">
        <w:rPr>
          <w:color w:val="333333"/>
          <w:lang w:val="en-GB" w:eastAsia="en-GB"/>
        </w:rPr>
        <w:t>i</w:t>
      </w:r>
      <w:r w:rsidR="00205BB5" w:rsidRPr="00E54D02">
        <w:rPr>
          <w:color w:val="333333"/>
          <w:lang w:val="en-GB" w:eastAsia="en-GB"/>
        </w:rPr>
        <w:t xml:space="preserve"> výstupem proudučního systému. </w:t>
      </w:r>
      <w:r w:rsidR="00747662" w:rsidRPr="00E54D02">
        <w:rPr>
          <w:color w:val="333333"/>
          <w:lang w:val="en-GB" w:eastAsia="en-GB"/>
        </w:rPr>
        <w:t xml:space="preserve"> </w:t>
      </w:r>
      <w:r w:rsidR="00205BB5" w:rsidRPr="00E54D02">
        <w:rPr>
          <w:color w:val="333333"/>
          <w:lang w:val="en-GB" w:eastAsia="en-GB"/>
        </w:rPr>
        <w:t xml:space="preserve"> Kapitál může </w:t>
      </w:r>
      <w:proofErr w:type="gramStart"/>
      <w:r w:rsidR="00205BB5" w:rsidRPr="00E54D02">
        <w:rPr>
          <w:color w:val="333333"/>
          <w:lang w:val="en-GB" w:eastAsia="en-GB"/>
        </w:rPr>
        <w:t>být  hmotný</w:t>
      </w:r>
      <w:proofErr w:type="gramEnd"/>
      <w:r w:rsidR="00205BB5" w:rsidRPr="00E54D02">
        <w:rPr>
          <w:color w:val="333333"/>
          <w:lang w:val="en-GB" w:eastAsia="en-GB"/>
        </w:rPr>
        <w:t xml:space="preserve"> (stroje, zařízení,budouvy či materiál)  nebo nehmotný (licence či software).</w:t>
      </w:r>
      <w:r w:rsidR="00747662" w:rsidRPr="00E54D02">
        <w:rPr>
          <w:color w:val="333333"/>
          <w:lang w:val="en-GB" w:eastAsia="en-GB"/>
        </w:rPr>
        <w:t xml:space="preserve"> Produktivita kapitálu ukazuje, jak efektivně je kapitál použit k vytváření výstupu.  Nástupem nových </w:t>
      </w:r>
      <w:proofErr w:type="gramStart"/>
      <w:r w:rsidR="00747662" w:rsidRPr="00E54D02">
        <w:rPr>
          <w:color w:val="333333"/>
          <w:lang w:val="en-GB" w:eastAsia="en-GB"/>
        </w:rPr>
        <w:t>technologií  a</w:t>
      </w:r>
      <w:proofErr w:type="gramEnd"/>
      <w:r w:rsidR="00747662" w:rsidRPr="00E54D02">
        <w:rPr>
          <w:color w:val="333333"/>
          <w:lang w:val="en-GB" w:eastAsia="en-GB"/>
        </w:rPr>
        <w:t xml:space="preserve"> ICT zkracuje dobu využití některých forem kapitálu (</w:t>
      </w:r>
      <w:r w:rsidR="000F2B27" w:rsidRPr="00E54D02">
        <w:t>Gallardo-Albarrán &amp; Inklaar, 2021)</w:t>
      </w:r>
      <w:r w:rsidR="00747662" w:rsidRPr="00E54D02">
        <w:rPr>
          <w:color w:val="333333"/>
          <w:lang w:val="en-GB" w:eastAsia="en-GB"/>
        </w:rPr>
        <w:t xml:space="preserve">.  </w:t>
      </w:r>
    </w:p>
    <w:p w:rsidR="00FE0E91" w:rsidRPr="00E54D02" w:rsidRDefault="001E073E" w:rsidP="00E54D02">
      <w:pPr>
        <w:shd w:val="clear" w:color="auto" w:fill="FFFFFF"/>
        <w:spacing w:after="360" w:line="360" w:lineRule="auto"/>
        <w:rPr>
          <w:color w:val="333333"/>
          <w:lang w:val="en-GB" w:eastAsia="en-GB"/>
        </w:rPr>
      </w:pPr>
      <w:r w:rsidRPr="00E54D02">
        <w:rPr>
          <w:color w:val="333333"/>
          <w:lang w:val="en-GB" w:eastAsia="en-GB"/>
        </w:rPr>
        <w:t>Půda</w:t>
      </w:r>
    </w:p>
    <w:p w:rsidR="008565D4" w:rsidRPr="00E54D02" w:rsidRDefault="001E073E" w:rsidP="00E54D02">
      <w:pPr>
        <w:shd w:val="clear" w:color="auto" w:fill="FFFFFF"/>
        <w:spacing w:after="360" w:line="360" w:lineRule="auto"/>
        <w:jc w:val="both"/>
        <w:rPr>
          <w:color w:val="333333"/>
          <w:lang w:val="en-GB" w:eastAsia="en-GB"/>
        </w:rPr>
      </w:pPr>
      <w:r w:rsidRPr="00E54D02">
        <w:rPr>
          <w:color w:val="333333"/>
          <w:lang w:val="en-GB" w:eastAsia="en-GB"/>
        </w:rPr>
        <w:t xml:space="preserve">Půda je široký pojem, který zahrnuje všechny přírodní zdroje.  </w:t>
      </w:r>
      <w:r w:rsidR="00FE0E91" w:rsidRPr="00E54D02">
        <w:rPr>
          <w:color w:val="333333"/>
          <w:lang w:val="en-GB" w:eastAsia="en-GB"/>
        </w:rPr>
        <w:t>Přírodní zdroje jako jeden z výrobních fakt</w:t>
      </w:r>
      <w:r w:rsidRPr="00E54D02">
        <w:rPr>
          <w:color w:val="333333"/>
          <w:lang w:val="en-GB" w:eastAsia="en-GB"/>
        </w:rPr>
        <w:t>o</w:t>
      </w:r>
      <w:r w:rsidR="00FE0E91" w:rsidRPr="00E54D02">
        <w:rPr>
          <w:color w:val="333333"/>
          <w:lang w:val="en-GB" w:eastAsia="en-GB"/>
        </w:rPr>
        <w:t xml:space="preserve">rů je možné rozdělit </w:t>
      </w:r>
      <w:proofErr w:type="gramStart"/>
      <w:r w:rsidR="00FE0E91" w:rsidRPr="00E54D02">
        <w:rPr>
          <w:color w:val="333333"/>
          <w:lang w:val="en-GB" w:eastAsia="en-GB"/>
        </w:rPr>
        <w:t>na  dvě</w:t>
      </w:r>
      <w:proofErr w:type="gramEnd"/>
      <w:r w:rsidR="00FE0E91" w:rsidRPr="00E54D02">
        <w:rPr>
          <w:color w:val="333333"/>
          <w:lang w:val="en-GB" w:eastAsia="en-GB"/>
        </w:rPr>
        <w:t xml:space="preserve"> základní skupiny a to na obnovitelné a neobnovitelné zdroje.</w:t>
      </w:r>
      <w:r w:rsidR="00474614">
        <w:rPr>
          <w:color w:val="333333"/>
          <w:lang w:val="en-GB" w:eastAsia="en-GB"/>
        </w:rPr>
        <w:t xml:space="preserve">  Obnovitelné jsou zdroje</w:t>
      </w:r>
      <w:r w:rsidR="00FE0E91" w:rsidRPr="00E54D02">
        <w:rPr>
          <w:color w:val="333333"/>
          <w:lang w:val="en-GB" w:eastAsia="en-GB"/>
        </w:rPr>
        <w:t xml:space="preserve">, které se mohou neustále obnovovat. Naopak neobnovitelné zdroje je možné vyčerpat, </w:t>
      </w:r>
      <w:r w:rsidR="00FE0E91" w:rsidRPr="00E54D02">
        <w:t>Jejich příkladem mohou být nerostné suroviny jako uhlí, kámen atd. (Varadzin &amp; kol., 2004).</w:t>
      </w:r>
      <w:r w:rsidRPr="00E54D02">
        <w:t xml:space="preserve"> </w:t>
      </w:r>
      <w:r w:rsidR="00474614">
        <w:t xml:space="preserve"> Někteří autoři jako Dieppe (2021) mluví dokonkce o tzv. p</w:t>
      </w:r>
      <w:r w:rsidR="00474614" w:rsidRPr="00474614">
        <w:t>řírodní</w:t>
      </w:r>
      <w:r w:rsidR="00474614">
        <w:t>m</w:t>
      </w:r>
      <w:r w:rsidR="00474614" w:rsidRPr="00474614">
        <w:t xml:space="preserve"> kapitál</w:t>
      </w:r>
      <w:r w:rsidR="00474614">
        <w:t>u, kdy v</w:t>
      </w:r>
      <w:r w:rsidR="00474614" w:rsidRPr="00474614">
        <w:t xml:space="preserve"> regionech a zemích bohatých na zdroje jsou přírodní zdroje důležitým vstupem do výroby. Bez zohlednění přírodního kapitálu v produkční funkci, mohla by být funkce špatně specifikována.</w:t>
      </w:r>
      <w:r w:rsidR="00474614">
        <w:t xml:space="preserve"> </w:t>
      </w:r>
      <w:r w:rsidRPr="00E54D02">
        <w:t xml:space="preserve">Produktivitu přírodních zrojů nám ukazuje ukazatel produktivity zdrojů (resource productivity). </w:t>
      </w:r>
      <w:r w:rsidR="008565D4" w:rsidRPr="00E54D02">
        <w:t xml:space="preserve">Produktivita zdrojů ukazuje efektivitu, s jakou ekonomika využívá materiály pocházející z přírodních zdrojů k vytváření ekonomických hodnot </w:t>
      </w:r>
      <w:r w:rsidR="008565D4" w:rsidRPr="00E54D02">
        <w:rPr>
          <w:lang w:val="en-GB"/>
        </w:rPr>
        <w:t xml:space="preserve">(Pineiro-Villaverde &amp; García-Álvarez, 2020). Dle Volka a Novotné (2021) produktivita zdrojů tedy kvantifikuje vztah mezi ekonomickými aktivitami a spotřebou přírodních zdrojů </w:t>
      </w:r>
      <w:proofErr w:type="gramStart"/>
      <w:r w:rsidR="008565D4" w:rsidRPr="00E54D02">
        <w:rPr>
          <w:lang w:val="en-GB"/>
        </w:rPr>
        <w:t>a</w:t>
      </w:r>
      <w:proofErr w:type="gramEnd"/>
      <w:r w:rsidR="008565D4" w:rsidRPr="00E54D02">
        <w:rPr>
          <w:lang w:val="en-GB"/>
        </w:rPr>
        <w:t xml:space="preserve"> objasňuje, zda jdou ruku v ruce, nebo do jaké míry jsou oddělené.</w:t>
      </w:r>
    </w:p>
    <w:p w:rsidR="00BB3C16" w:rsidRPr="00E54D02" w:rsidRDefault="00BB3C16" w:rsidP="00E54D02">
      <w:pPr>
        <w:shd w:val="clear" w:color="auto" w:fill="FFFFFF"/>
        <w:spacing w:after="360" w:line="360" w:lineRule="auto"/>
        <w:rPr>
          <w:color w:val="333333"/>
          <w:lang w:val="en-GB" w:eastAsia="en-GB"/>
        </w:rPr>
      </w:pPr>
      <w:r w:rsidRPr="00E54D02">
        <w:rPr>
          <w:color w:val="333333"/>
          <w:lang w:val="en-GB" w:eastAsia="en-GB"/>
        </w:rPr>
        <w:t xml:space="preserve">Jednou ze zvlášních forem kapitálu jsou technoglogie. Technologie je nástroj používaný často ke zvýšení productivity či zelepšení kvality produktů či služeb. Nové technlogie vedou častou k usnanění práce při produkči výrobků a zvytšují tím produktivitu práce, která často následný pozitvní ekonomický efekt.  </w:t>
      </w:r>
    </w:p>
    <w:p w:rsidR="00E616E1" w:rsidRPr="00E54D02" w:rsidRDefault="00E616E1" w:rsidP="00E54D02">
      <w:pPr>
        <w:pStyle w:val="Odstavecseseznamem"/>
        <w:numPr>
          <w:ilvl w:val="1"/>
          <w:numId w:val="2"/>
        </w:numPr>
        <w:shd w:val="clear" w:color="auto" w:fill="FFFFFF"/>
        <w:spacing w:after="360" w:line="360" w:lineRule="auto"/>
        <w:rPr>
          <w:rFonts w:ascii="Times New Roman" w:eastAsia="Times New Roman" w:hAnsi="Times New Roman" w:cs="Times New Roman"/>
          <w:color w:val="333333"/>
          <w:sz w:val="24"/>
          <w:szCs w:val="24"/>
          <w:lang w:val="en-GB" w:eastAsia="en-GB"/>
        </w:rPr>
      </w:pPr>
      <w:r w:rsidRPr="00E54D02">
        <w:rPr>
          <w:rFonts w:ascii="Times New Roman" w:eastAsia="Times New Roman" w:hAnsi="Times New Roman" w:cs="Times New Roman"/>
          <w:color w:val="333333"/>
          <w:sz w:val="24"/>
          <w:szCs w:val="24"/>
          <w:lang w:val="en-GB" w:eastAsia="en-GB"/>
        </w:rPr>
        <w:t xml:space="preserve">Produkční funkce a ekonomický růstu a produktivita </w:t>
      </w:r>
    </w:p>
    <w:p w:rsidR="00B822B5" w:rsidRPr="00E54D02" w:rsidRDefault="00E616E1" w:rsidP="00E54D02">
      <w:pPr>
        <w:shd w:val="clear" w:color="auto" w:fill="FFFFFF"/>
        <w:spacing w:after="360" w:line="360" w:lineRule="auto"/>
        <w:rPr>
          <w:color w:val="333333"/>
          <w:lang w:val="en-GB" w:eastAsia="en-GB"/>
        </w:rPr>
      </w:pPr>
      <w:r w:rsidRPr="00E54D02">
        <w:rPr>
          <w:color w:val="333333"/>
          <w:lang w:val="en-GB" w:eastAsia="en-GB"/>
        </w:rPr>
        <w:t xml:space="preserve">Základem pro měření produktvivity je produkční funkce, která slouží pro vyjádření vztahů mezi vstupy a výstupem a to jak z podnikového pohledu, tak i z odvětvového či regionálního </w:t>
      </w:r>
      <w:r w:rsidRPr="00E54D02">
        <w:rPr>
          <w:color w:val="333333"/>
          <w:lang w:val="en-GB" w:eastAsia="en-GB"/>
        </w:rPr>
        <w:lastRenderedPageBreak/>
        <w:t xml:space="preserve">pohledu. </w:t>
      </w:r>
      <w:r w:rsidR="00B822B5" w:rsidRPr="00E54D02">
        <w:rPr>
          <w:color w:val="333333"/>
          <w:lang w:val="en-GB" w:eastAsia="en-GB"/>
        </w:rPr>
        <w:t xml:space="preserve">Standardní specifikace produkční funkce slouží pro analýzu vztahu mezi vstupy, obvykle prací (L), kapitálem (K) a výrobou (Y nebo Q), a to jak </w:t>
      </w:r>
      <w:proofErr w:type="gramStart"/>
      <w:r w:rsidR="00B822B5" w:rsidRPr="00E54D02">
        <w:rPr>
          <w:color w:val="333333"/>
          <w:lang w:val="en-GB" w:eastAsia="en-GB"/>
        </w:rPr>
        <w:t>na</w:t>
      </w:r>
      <w:proofErr w:type="gramEnd"/>
      <w:r w:rsidR="00B822B5" w:rsidRPr="00E54D02">
        <w:rPr>
          <w:color w:val="333333"/>
          <w:lang w:val="en-GB" w:eastAsia="en-GB"/>
        </w:rPr>
        <w:t xml:space="preserve"> mikroekonomické, tak na makroekonomické úrovni. </w:t>
      </w:r>
    </w:p>
    <w:p w:rsidR="00D46094" w:rsidRPr="00E54D02" w:rsidRDefault="00E616E1" w:rsidP="00E54D02">
      <w:pPr>
        <w:shd w:val="clear" w:color="auto" w:fill="FFFFFF"/>
        <w:spacing w:after="360" w:line="360" w:lineRule="auto"/>
        <w:jc w:val="both"/>
      </w:pPr>
      <w:r w:rsidRPr="00E54D02">
        <w:rPr>
          <w:color w:val="333333"/>
          <w:lang w:val="en-GB" w:eastAsia="en-GB"/>
        </w:rPr>
        <w:t>V současně době je nejvíce využívaná neoklasická produkční funkce v různých tva</w:t>
      </w:r>
      <w:r w:rsidR="00CA763E" w:rsidRPr="00E54D02">
        <w:rPr>
          <w:color w:val="333333"/>
          <w:lang w:val="en-GB" w:eastAsia="en-GB"/>
        </w:rPr>
        <w:t xml:space="preserve">rech </w:t>
      </w:r>
      <w:proofErr w:type="gramStart"/>
      <w:r w:rsidR="00CA763E" w:rsidRPr="00E54D02">
        <w:rPr>
          <w:color w:val="333333"/>
          <w:lang w:val="en-GB" w:eastAsia="en-GB"/>
        </w:rPr>
        <w:t>a</w:t>
      </w:r>
      <w:proofErr w:type="gramEnd"/>
      <w:r w:rsidR="00CA763E" w:rsidRPr="00E54D02">
        <w:rPr>
          <w:color w:val="333333"/>
          <w:lang w:val="en-GB" w:eastAsia="en-GB"/>
        </w:rPr>
        <w:t xml:space="preserve"> s různými modifikacemi. </w:t>
      </w:r>
      <w:r w:rsidR="00272569" w:rsidRPr="00E54D02">
        <w:rPr>
          <w:color w:val="333333"/>
          <w:lang w:val="en-GB" w:eastAsia="en-GB"/>
        </w:rPr>
        <w:t xml:space="preserve">Solow v roce </w:t>
      </w:r>
      <w:proofErr w:type="gramStart"/>
      <w:r w:rsidR="00272569" w:rsidRPr="00E54D02">
        <w:rPr>
          <w:color w:val="333333"/>
          <w:lang w:val="en-GB" w:eastAsia="en-GB"/>
        </w:rPr>
        <w:t>1956  a</w:t>
      </w:r>
      <w:proofErr w:type="gramEnd"/>
      <w:r w:rsidR="00272569" w:rsidRPr="00E54D02">
        <w:rPr>
          <w:color w:val="333333"/>
          <w:lang w:val="en-GB" w:eastAsia="en-GB"/>
        </w:rPr>
        <w:t xml:space="preserve"> vycházel z předpokladu, že existuje pouze jeden statek a jeho produkce je definována funkcí Y = P(K, L), kde K a L jsou zásoba kapitálu a míra vložené práce.</w:t>
      </w:r>
      <w:r w:rsidR="007D46CD" w:rsidRPr="00E54D02">
        <w:rPr>
          <w:color w:val="333333"/>
          <w:lang w:val="en-GB" w:eastAsia="en-GB"/>
        </w:rPr>
        <w:t xml:space="preserve"> Jedou z možností </w:t>
      </w:r>
      <w:r w:rsidR="00E156D5" w:rsidRPr="00E54D02">
        <w:rPr>
          <w:color w:val="333333"/>
          <w:lang w:val="en-GB" w:eastAsia="en-GB"/>
        </w:rPr>
        <w:t xml:space="preserve">vyjádření produktivní funkce je pomocí Coob-Douglasovy produkční </w:t>
      </w:r>
      <w:proofErr w:type="gramStart"/>
      <w:r w:rsidR="00E156D5" w:rsidRPr="00E54D02">
        <w:rPr>
          <w:color w:val="333333"/>
          <w:lang w:val="en-GB" w:eastAsia="en-GB"/>
        </w:rPr>
        <w:t>funkce  ve</w:t>
      </w:r>
      <w:proofErr w:type="gramEnd"/>
      <w:r w:rsidR="00E156D5" w:rsidRPr="00E54D02">
        <w:rPr>
          <w:color w:val="333333"/>
          <w:lang w:val="en-GB" w:eastAsia="en-GB"/>
        </w:rPr>
        <w:t xml:space="preserve"> tvaru </w:t>
      </w:r>
      <w:r w:rsidR="007D46CD" w:rsidRPr="00E54D02">
        <w:rPr>
          <w:color w:val="333333"/>
          <w:lang w:val="en-GB" w:eastAsia="en-GB"/>
        </w:rPr>
        <w:t xml:space="preserve">  </w:t>
      </w:r>
      <w:r w:rsidR="007D46CD" w:rsidRPr="00E54D02">
        <w:t xml:space="preserve">Y </w:t>
      </w:r>
      <w:r w:rsidR="007D46CD" w:rsidRPr="00E54D02">
        <w:t></w:t>
      </w:r>
      <w:r w:rsidR="007D46CD" w:rsidRPr="00E54D02">
        <w:t>AL</w:t>
      </w:r>
      <w:r w:rsidR="007D46CD" w:rsidRPr="00E54D02">
        <w:rPr>
          <w:vertAlign w:val="superscript"/>
        </w:rPr>
        <w:t></w:t>
      </w:r>
      <w:r w:rsidR="007D46CD" w:rsidRPr="00E54D02">
        <w:t>K</w:t>
      </w:r>
      <w:r w:rsidR="007D46CD" w:rsidRPr="00E54D02">
        <w:rPr>
          <w:vertAlign w:val="superscript"/>
        </w:rPr>
        <w:t></w:t>
      </w:r>
      <w:r w:rsidR="00E156D5" w:rsidRPr="00E54D02">
        <w:t>kde A</w:t>
      </w:r>
      <w:r w:rsidR="007D46CD" w:rsidRPr="00E54D02">
        <w:t xml:space="preserve"> je úroveň  technologie, která je větší než 0,</w:t>
      </w:r>
      <w:r w:rsidR="00E156D5" w:rsidRPr="00E54D02">
        <w:t xml:space="preserve"> L je hodnota vložené pracovní síly, K jehodnota vloženého kapitálu. </w:t>
      </w:r>
      <w:r w:rsidR="00D46094" w:rsidRPr="00E54D02">
        <w:t>α je elasticita produkce související s prací a β je elasticita produkce související s kapitálem. Podíly substituce práce a kapitálu se mohou lišit. Z hlediska ekonomické analýzy se tato specifikace produkční funkce považuje za adekvátní způsob charakterizující výrobní proces v reálné ekonomice. Proto se běžně používá a je dobře známá.  Mezní produkt práce a kapitálu je vždy kladný a tato funkce umožňuje charakterizovat výnosy z rozsahu součtem α a β ((Roubalová &amp; Viskotová, 2019).</w:t>
      </w:r>
    </w:p>
    <w:p w:rsidR="00E616E1" w:rsidRPr="00E54D02" w:rsidRDefault="00272569" w:rsidP="00E54D02">
      <w:pPr>
        <w:shd w:val="clear" w:color="auto" w:fill="FFFFFF"/>
        <w:spacing w:after="360" w:line="360" w:lineRule="auto"/>
        <w:jc w:val="both"/>
        <w:rPr>
          <w:color w:val="333333"/>
          <w:lang w:val="en-GB" w:eastAsia="en-GB"/>
        </w:rPr>
      </w:pPr>
      <w:r w:rsidRPr="00E54D02">
        <w:rPr>
          <w:color w:val="333333"/>
          <w:lang w:val="en-GB" w:eastAsia="en-GB"/>
        </w:rPr>
        <w:t xml:space="preserve">Následně byla přidány technologie, </w:t>
      </w:r>
      <w:proofErr w:type="gramStart"/>
      <w:r w:rsidRPr="00E54D02">
        <w:rPr>
          <w:color w:val="333333"/>
          <w:lang w:val="en-GB" w:eastAsia="en-GB"/>
        </w:rPr>
        <w:t>kde  z</w:t>
      </w:r>
      <w:r w:rsidR="00E616E1" w:rsidRPr="00E54D02">
        <w:rPr>
          <w:color w:val="333333"/>
          <w:lang w:val="en-GB" w:eastAsia="en-GB"/>
        </w:rPr>
        <w:t>ákladní</w:t>
      </w:r>
      <w:proofErr w:type="gramEnd"/>
      <w:r w:rsidR="00E616E1" w:rsidRPr="00E54D02">
        <w:rPr>
          <w:color w:val="333333"/>
          <w:lang w:val="en-GB" w:eastAsia="en-GB"/>
        </w:rPr>
        <w:t xml:space="preserve"> tvar této fuknce je Y = F (K, L, T), kde Y je vyprodukovaný výstup. Kapitál (K) představuje trvalé fyzické vstupy. Druhým vstupem je práce (L) a představuje vstupy spojené s lidskou prací. Třetím vstupem je úroveň technologie (T) (Barro a Sala-i-Martin, 2004).  Mankiw (1999) doplňuje tuto funkci o přírodní zdroje. </w:t>
      </w:r>
      <w:r w:rsidRPr="00E54D02">
        <w:rPr>
          <w:color w:val="333333"/>
          <w:lang w:val="en-GB" w:eastAsia="en-GB"/>
        </w:rPr>
        <w:t>Mezi další složky použ</w:t>
      </w:r>
      <w:r w:rsidR="00106BBC" w:rsidRPr="00E54D02">
        <w:rPr>
          <w:color w:val="333333"/>
          <w:lang w:val="en-GB" w:eastAsia="en-GB"/>
        </w:rPr>
        <w:t>ité evnironmentální aspekt ((Halkos &amp; Psarianos, 2015)</w:t>
      </w:r>
      <w:r w:rsidR="00192E47" w:rsidRPr="00E54D02">
        <w:rPr>
          <w:color w:val="333333"/>
          <w:lang w:val="en-GB" w:eastAsia="en-GB"/>
        </w:rPr>
        <w:t xml:space="preserve"> či materiál (meziprodukty) vstupy (Zhao et al., 2021).</w:t>
      </w:r>
    </w:p>
    <w:p w:rsidR="00E616E1" w:rsidRPr="00E54D02" w:rsidRDefault="00CA763E" w:rsidP="00E54D02">
      <w:pPr>
        <w:autoSpaceDE w:val="0"/>
        <w:autoSpaceDN w:val="0"/>
        <w:adjustRightInd w:val="0"/>
        <w:spacing w:line="360" w:lineRule="auto"/>
        <w:rPr>
          <w:color w:val="333333"/>
          <w:lang w:val="en-GB" w:eastAsia="en-GB"/>
        </w:rPr>
      </w:pPr>
      <w:r w:rsidRPr="00E54D02">
        <w:rPr>
          <w:color w:val="333333"/>
          <w:lang w:val="en-GB" w:eastAsia="en-GB"/>
        </w:rPr>
        <w:t>V</w:t>
      </w:r>
      <w:r w:rsidR="0015402D" w:rsidRPr="00E54D02">
        <w:rPr>
          <w:color w:val="333333"/>
          <w:lang w:val="en-GB" w:eastAsia="en-GB"/>
        </w:rPr>
        <w:t>an Elk et al. (2019</w:t>
      </w:r>
      <w:proofErr w:type="gramStart"/>
      <w:r w:rsidR="0015402D" w:rsidRPr="00E54D02">
        <w:rPr>
          <w:color w:val="333333"/>
          <w:lang w:val="en-GB" w:eastAsia="en-GB"/>
        </w:rPr>
        <w:t xml:space="preserve">) </w:t>
      </w:r>
      <w:r w:rsidRPr="00E54D02">
        <w:rPr>
          <w:color w:val="333333"/>
          <w:lang w:val="en-GB" w:eastAsia="en-GB"/>
        </w:rPr>
        <w:t xml:space="preserve"> ro</w:t>
      </w:r>
      <w:r w:rsidR="0015402D" w:rsidRPr="00E54D02">
        <w:rPr>
          <w:color w:val="333333"/>
          <w:lang w:val="en-GB" w:eastAsia="en-GB"/>
        </w:rPr>
        <w:t>zšiřuje</w:t>
      </w:r>
      <w:proofErr w:type="gramEnd"/>
      <w:r w:rsidR="0015402D" w:rsidRPr="00E54D02">
        <w:rPr>
          <w:color w:val="333333"/>
          <w:lang w:val="en-GB" w:eastAsia="en-GB"/>
        </w:rPr>
        <w:t xml:space="preserve"> Cobb-Douglasovu funkci  stejně jako Mankiw (1992) o lidský kapitál. </w:t>
      </w:r>
      <w:r w:rsidR="008561D9" w:rsidRPr="00E54D02">
        <w:rPr>
          <w:color w:val="333333"/>
          <w:lang w:val="en-GB" w:eastAsia="en-GB"/>
        </w:rPr>
        <w:t xml:space="preserve">Zásoby znalostního kapitálu </w:t>
      </w:r>
      <w:r w:rsidRPr="00E54D02">
        <w:rPr>
          <w:color w:val="333333"/>
          <w:lang w:val="en-GB" w:eastAsia="en-GB"/>
        </w:rPr>
        <w:t>stejně jako v Hall et al. (2010)</w:t>
      </w:r>
      <w:r w:rsidR="008561D9" w:rsidRPr="00E54D02">
        <w:rPr>
          <w:color w:val="333333"/>
          <w:lang w:val="en-GB" w:eastAsia="en-GB"/>
        </w:rPr>
        <w:t xml:space="preserve"> dělí</w:t>
      </w:r>
      <w:r w:rsidRPr="00E54D02">
        <w:rPr>
          <w:color w:val="333333"/>
          <w:lang w:val="en-GB" w:eastAsia="en-GB"/>
        </w:rPr>
        <w:t xml:space="preserve"> na soukromé </w:t>
      </w:r>
      <w:proofErr w:type="gramStart"/>
      <w:r w:rsidRPr="00E54D02">
        <w:rPr>
          <w:color w:val="333333"/>
          <w:lang w:val="en-GB" w:eastAsia="en-GB"/>
        </w:rPr>
        <w:t>( KCP</w:t>
      </w:r>
      <w:proofErr w:type="gramEnd"/>
      <w:r w:rsidRPr="00E54D02">
        <w:rPr>
          <w:color w:val="333333"/>
          <w:lang w:val="en-GB" w:eastAsia="en-GB"/>
        </w:rPr>
        <w:t xml:space="preserve"> ), veřejné ( KCG ) a zahraniční ( KCF ). To vede k následující produkční funkci</w:t>
      </w:r>
      <w:r w:rsidR="008561D9" w:rsidRPr="00E54D02">
        <w:rPr>
          <w:color w:val="333333"/>
          <w:lang w:val="en-GB" w:eastAsia="en-GB"/>
        </w:rPr>
        <w:t xml:space="preserve">, která tyto věci integrume </w:t>
      </w:r>
      <w:r w:rsidR="00B539B2" w:rsidRPr="00E54D02">
        <w:rPr>
          <w:color w:val="333333"/>
          <w:lang w:val="en-GB" w:eastAsia="en-GB"/>
        </w:rPr>
        <w:t>(Van Elk et al. 2019)</w:t>
      </w:r>
      <w:r w:rsidR="008561D9" w:rsidRPr="00E54D02">
        <w:rPr>
          <w:color w:val="333333"/>
          <w:lang w:val="en-GB" w:eastAsia="en-GB"/>
        </w:rPr>
        <w:t xml:space="preserve">. </w:t>
      </w:r>
    </w:p>
    <w:p w:rsidR="000F2B27" w:rsidRPr="00E54D02" w:rsidRDefault="000F2B27" w:rsidP="00E54D02">
      <w:pPr>
        <w:autoSpaceDE w:val="0"/>
        <w:autoSpaceDN w:val="0"/>
        <w:adjustRightInd w:val="0"/>
        <w:spacing w:line="360" w:lineRule="auto"/>
        <w:rPr>
          <w:color w:val="333333"/>
          <w:lang w:val="en-GB" w:eastAsia="en-GB"/>
        </w:rPr>
      </w:pPr>
    </w:p>
    <w:p w:rsidR="00907C33" w:rsidRPr="00E54D02" w:rsidRDefault="007522BA" w:rsidP="00E54D02">
      <w:pPr>
        <w:shd w:val="clear" w:color="auto" w:fill="FFFFFF"/>
        <w:spacing w:after="360" w:line="360" w:lineRule="auto"/>
        <w:jc w:val="both"/>
        <w:rPr>
          <w:color w:val="333333"/>
          <w:lang w:val="en-GB" w:eastAsia="en-GB"/>
        </w:rPr>
      </w:pPr>
      <w:r w:rsidRPr="00E54D02">
        <w:rPr>
          <w:color w:val="333333"/>
          <w:lang w:val="en-GB" w:eastAsia="en-GB"/>
        </w:rPr>
        <w:t xml:space="preserve">Agregátní produkční funkce se používají ke zkoumání produktivity kapitálu, </w:t>
      </w:r>
      <w:proofErr w:type="gramStart"/>
      <w:r w:rsidRPr="00E54D02">
        <w:rPr>
          <w:color w:val="333333"/>
          <w:lang w:val="en-GB" w:eastAsia="en-GB"/>
        </w:rPr>
        <w:t>práce  a</w:t>
      </w:r>
      <w:proofErr w:type="gramEnd"/>
      <w:r w:rsidRPr="00E54D02">
        <w:rPr>
          <w:color w:val="333333"/>
          <w:lang w:val="en-GB" w:eastAsia="en-GB"/>
        </w:rPr>
        <w:t xml:space="preserve"> technologií na národní úrovni  s ohledem na hospodářské cykly a ekonomický růst.  Koncepce technologického pokroku v dlouhém období nepovažuje produkční funkci za fixní, ale zavádí změny ve výrobním procesu. Konkrétně technologický pokrok snižuje množství vstupů potřebných k dosažení daného výstupu.  Ekonomická teorie rozděluje technologický pokrok </w:t>
      </w:r>
      <w:proofErr w:type="gramStart"/>
      <w:r w:rsidRPr="00E54D02">
        <w:rPr>
          <w:color w:val="333333"/>
          <w:lang w:val="en-GB" w:eastAsia="en-GB"/>
        </w:rPr>
        <w:t>podle  na</w:t>
      </w:r>
      <w:proofErr w:type="gramEnd"/>
      <w:r w:rsidRPr="00E54D02">
        <w:rPr>
          <w:color w:val="333333"/>
          <w:lang w:val="en-GB" w:eastAsia="en-GB"/>
        </w:rPr>
        <w:t xml:space="preserve"> tři typy.  V případě neutrálního technologického pokroku </w:t>
      </w:r>
      <w:r w:rsidR="00B822B5" w:rsidRPr="00E54D02">
        <w:rPr>
          <w:color w:val="333333"/>
          <w:lang w:val="en-GB" w:eastAsia="en-GB"/>
        </w:rPr>
        <w:t xml:space="preserve">tzv. Hicksův </w:t>
      </w:r>
      <w:r w:rsidR="00B822B5" w:rsidRPr="00E54D02">
        <w:rPr>
          <w:color w:val="333333"/>
          <w:lang w:val="en-GB" w:eastAsia="en-GB"/>
        </w:rPr>
        <w:lastRenderedPageBreak/>
        <w:t xml:space="preserve">neutrální technologický pokrok </w:t>
      </w:r>
      <w:r w:rsidRPr="00E54D02">
        <w:rPr>
          <w:color w:val="333333"/>
          <w:lang w:val="en-GB" w:eastAsia="en-GB"/>
        </w:rPr>
        <w:t>není poměr mezi mezním produktem práce a mezním produktem kapitálu ovlivněn.  Pro technologický pokrok šetřící práci je typické, že dochází k technickému pokroku v oblasti kapitálu, který zvyšuje mezní produkt kapitálu v poměru k meznímu produktu práce (</w:t>
      </w:r>
      <w:r w:rsidRPr="00E54D02">
        <w:t>(Roubalová &amp; Viskotová, 2018)</w:t>
      </w:r>
    </w:p>
    <w:p w:rsidR="000D45B5" w:rsidRPr="00E54D02" w:rsidRDefault="000D45B5" w:rsidP="00E54D02">
      <w:pPr>
        <w:spacing w:line="360" w:lineRule="auto"/>
      </w:pPr>
    </w:p>
    <w:p w:rsidR="000D45B5" w:rsidRPr="00E54D02" w:rsidRDefault="000D45B5" w:rsidP="00E54D02">
      <w:pPr>
        <w:spacing w:line="360" w:lineRule="auto"/>
        <w:jc w:val="both"/>
      </w:pPr>
    </w:p>
    <w:p w:rsidR="00C52532" w:rsidRPr="00E54D02" w:rsidRDefault="00202BB8" w:rsidP="00E54D02">
      <w:pPr>
        <w:spacing w:line="360" w:lineRule="auto"/>
        <w:jc w:val="both"/>
      </w:pPr>
      <w:r w:rsidRPr="00E54D02">
        <w:t xml:space="preserve">Produkční funkce  je </w:t>
      </w:r>
      <w:proofErr w:type="gramStart"/>
      <w:r w:rsidRPr="00E54D02">
        <w:t>vztah podle</w:t>
      </w:r>
      <w:proofErr w:type="gramEnd"/>
      <w:r w:rsidRPr="00E54D02">
        <w:t xml:space="preserve"> kterého jsou vstupy kombinovány k produkci výstupu. </w:t>
      </w:r>
      <w:r w:rsidRPr="00E54D02">
        <w:rPr>
          <w:bCs/>
        </w:rPr>
        <w:t>Produkční funkce vyjadřuje maximální objem produkce, jež je možno vyrobit danou kombinací výrobních faktorů a  při dané úrovni technologie.  Produkční funkce ukazuje velikost (objem)  celkového vyrobené produkce  jako funkci vstupů Q = f ( F</w:t>
      </w:r>
      <w:r w:rsidRPr="00E54D02">
        <w:rPr>
          <w:bCs/>
          <w:vertAlign w:val="subscript"/>
        </w:rPr>
        <w:t>1</w:t>
      </w:r>
      <w:r w:rsidRPr="00E54D02">
        <w:rPr>
          <w:bCs/>
        </w:rPr>
        <w:t>, F</w:t>
      </w:r>
      <w:r w:rsidRPr="00E54D02">
        <w:rPr>
          <w:bCs/>
          <w:vertAlign w:val="subscript"/>
        </w:rPr>
        <w:t>2</w:t>
      </w:r>
      <w:r w:rsidRPr="00E54D02">
        <w:rPr>
          <w:bCs/>
        </w:rPr>
        <w:t>,…, F</w:t>
      </w:r>
      <w:r w:rsidRPr="00E54D02">
        <w:rPr>
          <w:bCs/>
          <w:vertAlign w:val="subscript"/>
        </w:rPr>
        <w:t>n</w:t>
      </w:r>
      <w:r w:rsidRPr="00E54D02">
        <w:rPr>
          <w:bCs/>
        </w:rPr>
        <w:t xml:space="preserve"> ) (</w:t>
      </w:r>
      <w:proofErr w:type="gramStart"/>
      <w:r w:rsidRPr="00E54D02">
        <w:rPr>
          <w:bCs/>
        </w:rPr>
        <w:t>Macáková,2010</w:t>
      </w:r>
      <w:proofErr w:type="gramEnd"/>
      <w:r w:rsidRPr="00E54D02">
        <w:rPr>
          <w:bCs/>
        </w:rPr>
        <w:t>).</w:t>
      </w:r>
      <w:r w:rsidRPr="00E54D02">
        <w:t xml:space="preserve"> Produkční funkce lze dělit na jednofaktorové, kdy se mění pouze jeden výrobní faktor, a dvou a více faktorové, kdy se mění dva a více výrobních faktorů. Jednofaktorové produkční funkce jsou využívány především </w:t>
      </w:r>
      <w:r w:rsidRPr="00E54D02">
        <w:rPr>
          <w:bCs/>
        </w:rPr>
        <w:t>v krátkém období</w:t>
      </w:r>
      <w:r w:rsidRPr="00E54D02">
        <w:t xml:space="preserve">, dvou a více faktorové pak </w:t>
      </w:r>
      <w:r w:rsidRPr="00E54D02">
        <w:rPr>
          <w:bCs/>
        </w:rPr>
        <w:t>v dlouhém období</w:t>
      </w:r>
      <w:r w:rsidRPr="00E54D02">
        <w:t xml:space="preserve"> (Novotná &amp; Volek, 2008).</w:t>
      </w:r>
      <w:r w:rsidR="00EC028B" w:rsidRPr="00E54D02">
        <w:t xml:space="preserve"> </w:t>
      </w:r>
    </w:p>
    <w:p w:rsidR="00C52532" w:rsidRPr="00E54D02" w:rsidRDefault="00C52532" w:rsidP="00E54D02">
      <w:pPr>
        <w:spacing w:line="360" w:lineRule="auto"/>
        <w:jc w:val="both"/>
      </w:pPr>
    </w:p>
    <w:p w:rsidR="00C52532" w:rsidRPr="00E54D02" w:rsidRDefault="00C52532" w:rsidP="00E54D02">
      <w:pPr>
        <w:spacing w:line="360" w:lineRule="auto"/>
        <w:jc w:val="both"/>
      </w:pPr>
    </w:p>
    <w:p w:rsidR="00EC028B" w:rsidRPr="00E54D02" w:rsidRDefault="00EC028B" w:rsidP="00E54D02">
      <w:pPr>
        <w:spacing w:line="360" w:lineRule="auto"/>
        <w:jc w:val="both"/>
      </w:pPr>
      <w:r w:rsidRPr="00E54D02">
        <w:t xml:space="preserve">Pro znázornění slouží obrázek </w:t>
      </w:r>
      <w:proofErr w:type="gramStart"/>
      <w:r w:rsidRPr="00E54D02">
        <w:t>č. X , kde</w:t>
      </w:r>
      <w:proofErr w:type="gramEnd"/>
      <w:r w:rsidRPr="00E54D02">
        <w:t xml:space="preserve"> je vstup zastoupen prací (L) a výstupe je definován jako Y. Lze si všimnout, že s rostoucím množstvím použité práce se produkce zvyšuje. </w:t>
      </w:r>
    </w:p>
    <w:p w:rsidR="00202BB8" w:rsidRPr="00E54D02" w:rsidRDefault="00202BB8" w:rsidP="00E54D02">
      <w:pPr>
        <w:spacing w:line="360" w:lineRule="auto"/>
        <w:jc w:val="both"/>
      </w:pPr>
    </w:p>
    <w:p w:rsidR="00B27E2A" w:rsidRPr="00E54D02" w:rsidRDefault="00C52532" w:rsidP="00E54D02">
      <w:pPr>
        <w:spacing w:line="360" w:lineRule="auto"/>
      </w:pPr>
      <w:r w:rsidRPr="00E54D02">
        <w:t>Obrázek č. X:</w:t>
      </w:r>
    </w:p>
    <w:p w:rsidR="00B27E2A" w:rsidRPr="00E54D02" w:rsidRDefault="00C52532" w:rsidP="00E54D02">
      <w:pPr>
        <w:spacing w:line="360" w:lineRule="auto"/>
      </w:pPr>
      <w:r w:rsidRPr="00E54D02">
        <w:rPr>
          <w:noProof/>
        </w:rPr>
        <mc:AlternateContent>
          <mc:Choice Requires="wpg">
            <w:drawing>
              <wp:anchor distT="0" distB="0" distL="114300" distR="114300" simplePos="0" relativeHeight="251682816" behindDoc="0" locked="0" layoutInCell="1" allowOverlap="1">
                <wp:simplePos x="0" y="0"/>
                <wp:positionH relativeFrom="column">
                  <wp:posOffset>37821</wp:posOffset>
                </wp:positionH>
                <wp:positionV relativeFrom="paragraph">
                  <wp:posOffset>136160</wp:posOffset>
                </wp:positionV>
                <wp:extent cx="4251669" cy="2601461"/>
                <wp:effectExtent l="0" t="0" r="0" b="8890"/>
                <wp:wrapNone/>
                <wp:docPr id="45" name="Skupina 45"/>
                <wp:cNvGraphicFramePr/>
                <a:graphic xmlns:a="http://schemas.openxmlformats.org/drawingml/2006/main">
                  <a:graphicData uri="http://schemas.microsoft.com/office/word/2010/wordprocessingGroup">
                    <wpg:wgp>
                      <wpg:cNvGrpSpPr/>
                      <wpg:grpSpPr>
                        <a:xfrm>
                          <a:off x="0" y="0"/>
                          <a:ext cx="4251669" cy="2601461"/>
                          <a:chOff x="152400" y="0"/>
                          <a:chExt cx="3808919" cy="2933700"/>
                        </a:xfrm>
                      </wpg:grpSpPr>
                      <wps:wsp>
                        <wps:cNvPr id="46" name="Freeform 10"/>
                        <wps:cNvSpPr>
                          <a:spLocks/>
                        </wps:cNvSpPr>
                        <wps:spPr bwMode="auto">
                          <a:xfrm rot="5850117">
                            <a:off x="647699" y="452967"/>
                            <a:ext cx="2241550" cy="2393315"/>
                          </a:xfrm>
                          <a:custGeom>
                            <a:avLst/>
                            <a:gdLst/>
                            <a:ahLst/>
                            <a:cxnLst>
                              <a:cxn ang="0">
                                <a:pos x="0" y="0"/>
                              </a:cxn>
                              <a:cxn ang="0">
                                <a:pos x="96" y="480"/>
                              </a:cxn>
                              <a:cxn ang="0">
                                <a:pos x="288" y="960"/>
                              </a:cxn>
                              <a:cxn ang="0">
                                <a:pos x="624" y="1392"/>
                              </a:cxn>
                              <a:cxn ang="0">
                                <a:pos x="1152" y="1728"/>
                              </a:cxn>
                              <a:cxn ang="0">
                                <a:pos x="1680" y="1872"/>
                              </a:cxn>
                              <a:cxn ang="0">
                                <a:pos x="2112" y="1920"/>
                              </a:cxn>
                            </a:cxnLst>
                            <a:rect l="0" t="0" r="r" b="b"/>
                            <a:pathLst>
                              <a:path w="2112" h="1920">
                                <a:moveTo>
                                  <a:pt x="0" y="0"/>
                                </a:moveTo>
                                <a:cubicBezTo>
                                  <a:pt x="24" y="160"/>
                                  <a:pt x="48" y="320"/>
                                  <a:pt x="96" y="480"/>
                                </a:cubicBezTo>
                                <a:cubicBezTo>
                                  <a:pt x="144" y="640"/>
                                  <a:pt x="200" y="808"/>
                                  <a:pt x="288" y="960"/>
                                </a:cubicBezTo>
                                <a:cubicBezTo>
                                  <a:pt x="376" y="1112"/>
                                  <a:pt x="480" y="1264"/>
                                  <a:pt x="624" y="1392"/>
                                </a:cubicBezTo>
                                <a:cubicBezTo>
                                  <a:pt x="768" y="1520"/>
                                  <a:pt x="976" y="1648"/>
                                  <a:pt x="1152" y="1728"/>
                                </a:cubicBezTo>
                                <a:cubicBezTo>
                                  <a:pt x="1328" y="1808"/>
                                  <a:pt x="1520" y="1840"/>
                                  <a:pt x="1680" y="1872"/>
                                </a:cubicBezTo>
                                <a:cubicBezTo>
                                  <a:pt x="1840" y="1904"/>
                                  <a:pt x="2040" y="1912"/>
                                  <a:pt x="2112" y="1920"/>
                                </a:cubicBezTo>
                              </a:path>
                            </a:pathLst>
                          </a:cu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rap="none"/>
                      </wps:wsp>
                      <wpg:grpSp>
                        <wpg:cNvPr id="47" name="Skupina 47"/>
                        <wpg:cNvGrpSpPr/>
                        <wpg:grpSpPr>
                          <a:xfrm>
                            <a:off x="152400" y="0"/>
                            <a:ext cx="3808919" cy="2933700"/>
                            <a:chOff x="152400" y="0"/>
                            <a:chExt cx="3808919" cy="2933700"/>
                          </a:xfrm>
                        </wpg:grpSpPr>
                        <wps:wsp>
                          <wps:cNvPr id="48" name="Přímá spojnice se šipkou 48"/>
                          <wps:cNvCnPr/>
                          <wps:spPr>
                            <a:xfrm flipV="1">
                              <a:off x="423333" y="127000"/>
                              <a:ext cx="25400" cy="24974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9" name="Přímá spojnice se šipkou 49"/>
                          <wps:cNvCnPr/>
                          <wps:spPr>
                            <a:xfrm flipV="1">
                              <a:off x="423333" y="2582333"/>
                              <a:ext cx="3275965" cy="450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51" name="Textové pole 51"/>
                          <wps:cNvSpPr txBox="1"/>
                          <wps:spPr>
                            <a:xfrm>
                              <a:off x="152400" y="0"/>
                              <a:ext cx="262255" cy="363220"/>
                            </a:xfrm>
                            <a:prstGeom prst="rect">
                              <a:avLst/>
                            </a:prstGeom>
                            <a:solidFill>
                              <a:schemeClr val="lt1"/>
                            </a:solidFill>
                            <a:ln w="6350">
                              <a:noFill/>
                            </a:ln>
                          </wps:spPr>
                          <wps:txbx>
                            <w:txbxContent>
                              <w:p w:rsidR="00663322" w:rsidRDefault="00663322" w:rsidP="00B27E2A">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ové pole 57"/>
                          <wps:cNvSpPr txBox="1"/>
                          <wps:spPr>
                            <a:xfrm>
                              <a:off x="3574670" y="2590800"/>
                              <a:ext cx="386649" cy="342900"/>
                            </a:xfrm>
                            <a:prstGeom prst="rect">
                              <a:avLst/>
                            </a:prstGeom>
                            <a:solidFill>
                              <a:schemeClr val="lt1"/>
                            </a:solidFill>
                            <a:ln w="6350">
                              <a:noFill/>
                            </a:ln>
                          </wps:spPr>
                          <wps:txbx>
                            <w:txbxContent>
                              <w:p w:rsidR="00663322" w:rsidRDefault="00663322" w:rsidP="00B27E2A">
                                <w:r>
                                  <w:t>X (L)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 name="Textové pole 59"/>
                          <wps:cNvSpPr txBox="1"/>
                          <wps:spPr>
                            <a:xfrm>
                              <a:off x="3090333" y="516467"/>
                              <a:ext cx="608965" cy="363220"/>
                            </a:xfrm>
                            <a:prstGeom prst="rect">
                              <a:avLst/>
                            </a:prstGeom>
                            <a:solidFill>
                              <a:schemeClr val="lt1"/>
                            </a:solidFill>
                            <a:ln w="6350">
                              <a:noFill/>
                            </a:ln>
                          </wps:spPr>
                          <wps:txbx>
                            <w:txbxContent>
                              <w:p w:rsidR="00663322" w:rsidRPr="00797B41" w:rsidRDefault="00663322" w:rsidP="00B27E2A">
                                <w:pPr>
                                  <w:rPr>
                                    <w:vertAlign w:val="superscript"/>
                                  </w:rPr>
                                </w:pPr>
                                <w:proofErr w:type="gramStart"/>
                                <w:r>
                                  <w:t>Y(t)</w:t>
                                </w:r>
                                <w:proofErr w:type="gramEnd"/>
                              </w:p>
                              <w:p w:rsidR="00663322" w:rsidRPr="00797B41" w:rsidRDefault="00663322" w:rsidP="00B27E2A">
                                <w:pPr>
                                  <w:rPr>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Skupina 45" o:spid="_x0000_s1026" style="position:absolute;margin-left:3pt;margin-top:10.7pt;width:334.8pt;height:204.85pt;z-index:251682816;mso-width-relative:margin;mso-height-relative:margin" coordorigin="1524" coordsize="38089,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">
                <v:shape id="Freeform 10" o:spid="_x0000_s1027" style="position:absolute;left:6477;top:4529;width:22416;height:23933;rotation:6389888fd;visibility:visible;mso-wrap-style:none;v-text-anchor:top" coordsize="21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" path="m,c24,160,48,320,96,480v48,160,104,328,192,480c376,1112,480,1264,624,1392v144,128,352,256,528,336c1328,1808,1520,1840,1680,1872v160,32,360,40,432,48e" filled="f" strokecolor="black [3200]" strokeweight="1pt">
                  <v:stroke joinstyle="miter"/>
                  <v:path arrowok="t" o:connecttype="custom" o:connectlocs="0,0;96,480;288,960;624,1392;1152,1728;1680,1872;2112,1920" o:connectangles="0,0,0,0,0,0,0"/>
                </v:shape>
                <v:group id="Skupina 47" o:spid="_x0000_s1028" style="position:absolute;left:1524;width:38089;height:29337" coordorigin="1524" coordsize="38089,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32" coordsize="21600,21600" o:spt="32" o:oned="t" path="m,l21600,21600e" filled="f">
                    <v:path arrowok="t" fillok="f" o:connecttype="none"/>
                    <o:lock v:ext="edit" shapetype="t"/>
                  </v:shapetype>
                  <v:shape id="Přímá spojnice se šipkou 48" o:spid="_x0000_s1029" type="#_x0000_t32" style="position:absolute;left:4233;top:1270;width:254;height:249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" strokecolor="black [3200]" strokeweight="1pt">
                    <v:stroke endarrow="block" joinstyle="miter"/>
                  </v:shape>
                  <v:shape id="Přímá spojnice se šipkou 49" o:spid="_x0000_s1030" type="#_x0000_t32" style="position:absolute;left:4233;top:25823;width:32759;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" strokecolor="black [3200]" strokeweight="1pt">
                    <v:stroke endarrow="block" joinstyle="miter"/>
                  </v:shape>
                  <v:shapetype id="_x0000_t202" coordsize="21600,21600" o:spt="202" path="m,l,21600r21600,l21600,xe">
                    <v:stroke joinstyle="miter"/>
                    <v:path gradientshapeok="t" o:connecttype="rect"/>
                  </v:shapetype>
                  <v:shape id="Textové pole 51" o:spid="_x0000_s1031" type="#_x0000_t202" style="position:absolute;left:1524;width:2622;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rsidR="00663322" w:rsidRDefault="00663322" w:rsidP="00B27E2A">
                          <w:r>
                            <w:t>y</w:t>
                          </w:r>
                        </w:p>
                      </w:txbxContent>
                    </v:textbox>
                  </v:shape>
                  <v:shape id="Textové pole 57" o:spid="_x0000_s1032" type="#_x0000_t202" style="position:absolute;left:35746;top:25908;width:38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" fillcolor="white [3201]" stroked="f" strokeweight=".5pt">
                    <v:textbox inset="0,0,0,0">
                      <w:txbxContent>
                        <w:p w:rsidR="00663322" w:rsidRDefault="00663322" w:rsidP="00B27E2A">
                          <w:r>
                            <w:t>X (L)</w:t>
                          </w:r>
                        </w:p>
                      </w:txbxContent>
                    </v:textbox>
                  </v:shape>
                  <v:shape id="Textové pole 59" o:spid="_x0000_s1033" type="#_x0000_t202" style="position:absolute;left:30903;top:5164;width:608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" fillcolor="white [3201]" stroked="f" strokeweight=".5pt">
                    <v:textbox>
                      <w:txbxContent>
                        <w:p w:rsidR="00663322" w:rsidRPr="00797B41" w:rsidRDefault="00663322" w:rsidP="00B27E2A">
                          <w:pPr>
                            <w:rPr>
                              <w:vertAlign w:val="superscript"/>
                            </w:rPr>
                          </w:pPr>
                          <w:proofErr w:type="gramStart"/>
                          <w:r>
                            <w:t>Y(t)</w:t>
                          </w:r>
                          <w:proofErr w:type="gramEnd"/>
                        </w:p>
                        <w:p w:rsidR="00663322" w:rsidRPr="00797B41" w:rsidRDefault="00663322" w:rsidP="00B27E2A">
                          <w:pPr>
                            <w:rPr>
                              <w:vertAlign w:val="superscript"/>
                            </w:rPr>
                          </w:pPr>
                        </w:p>
                      </w:txbxContent>
                    </v:textbox>
                  </v:shape>
                </v:group>
              </v:group>
            </w:pict>
          </mc:Fallback>
        </mc:AlternateContent>
      </w:r>
    </w:p>
    <w:p w:rsidR="00F3289A" w:rsidRPr="00E54D02" w:rsidRDefault="00F3289A" w:rsidP="00E54D02">
      <w:pPr>
        <w:spacing w:line="360" w:lineRule="auto"/>
      </w:pPr>
    </w:p>
    <w:p w:rsidR="00F3289A" w:rsidRPr="00E54D02" w:rsidRDefault="00F3289A" w:rsidP="00E54D02">
      <w:pPr>
        <w:spacing w:line="360" w:lineRule="auto"/>
      </w:pPr>
    </w:p>
    <w:p w:rsidR="00F3289A" w:rsidRPr="00E54D02" w:rsidRDefault="00F3289A" w:rsidP="00E54D02">
      <w:pPr>
        <w:spacing w:line="360" w:lineRule="auto"/>
      </w:pPr>
    </w:p>
    <w:p w:rsidR="00B27E2A" w:rsidRPr="00E54D02" w:rsidRDefault="00B27E2A" w:rsidP="00E54D02">
      <w:pPr>
        <w:spacing w:line="360" w:lineRule="auto"/>
      </w:pPr>
    </w:p>
    <w:p w:rsidR="00B27E2A" w:rsidRPr="00E54D02" w:rsidRDefault="00B27E2A" w:rsidP="00E54D02">
      <w:pPr>
        <w:spacing w:line="360" w:lineRule="auto"/>
      </w:pPr>
    </w:p>
    <w:p w:rsidR="00B27E2A" w:rsidRPr="00E54D02" w:rsidRDefault="00B27E2A" w:rsidP="00E54D02">
      <w:pPr>
        <w:spacing w:line="360" w:lineRule="auto"/>
      </w:pPr>
    </w:p>
    <w:p w:rsidR="00B27E2A" w:rsidRPr="00E54D02" w:rsidRDefault="00B27E2A" w:rsidP="00E54D02">
      <w:pPr>
        <w:spacing w:line="360" w:lineRule="auto"/>
      </w:pPr>
    </w:p>
    <w:p w:rsidR="00B27E2A" w:rsidRPr="00E54D02" w:rsidRDefault="00B27E2A" w:rsidP="00E54D02">
      <w:pPr>
        <w:spacing w:line="360" w:lineRule="auto"/>
      </w:pPr>
    </w:p>
    <w:p w:rsidR="00202BB8" w:rsidRPr="00E54D02" w:rsidRDefault="00202BB8" w:rsidP="00E54D02">
      <w:pPr>
        <w:spacing w:line="360" w:lineRule="auto"/>
      </w:pPr>
    </w:p>
    <w:p w:rsidR="00202BB8" w:rsidRPr="00E54D02" w:rsidRDefault="00202BB8" w:rsidP="00E54D02">
      <w:pPr>
        <w:spacing w:line="360" w:lineRule="auto"/>
      </w:pPr>
    </w:p>
    <w:p w:rsidR="00B27E2A" w:rsidRPr="00E54D02" w:rsidRDefault="00B27E2A" w:rsidP="00E54D02">
      <w:pPr>
        <w:spacing w:line="360" w:lineRule="auto"/>
      </w:pPr>
    </w:p>
    <w:p w:rsidR="00C52532" w:rsidRPr="00E54D02" w:rsidRDefault="00C52532" w:rsidP="00E54D02">
      <w:pPr>
        <w:spacing w:line="360" w:lineRule="auto"/>
        <w:jc w:val="both"/>
      </w:pPr>
    </w:p>
    <w:p w:rsidR="00EC028B" w:rsidRPr="00E54D02" w:rsidRDefault="00EC028B" w:rsidP="00E54D02">
      <w:pPr>
        <w:spacing w:line="360" w:lineRule="auto"/>
        <w:jc w:val="both"/>
      </w:pPr>
      <w:r w:rsidRPr="00E54D02">
        <w:lastRenderedPageBreak/>
        <w:t xml:space="preserve">Podrobnější struktura produkční funkce podniku je znázorněna na obrázku X, kde je jeden vstup použit k vytvoření jednoho výstupu. Předpokládejme, že pro výrobce v čase t je výrobní plán dán kombinací vstupů a výstupů xt  a yt a produkční hranicí - funkcí (maximální možná výstupní funkce daná vstupy) </w:t>
      </w:r>
      <w:proofErr w:type="gramStart"/>
      <w:r w:rsidRPr="00E54D02">
        <w:t>je f(x,t). Produktivita</w:t>
      </w:r>
      <w:proofErr w:type="gramEnd"/>
      <w:r w:rsidRPr="00E54D02">
        <w:t xml:space="preserve"> pro tuto kombinaci vstupů a výstupů je definována takto poměrem výstupu ke vstupu, tj. yt/xt . V případě, že dojde k technologickému pokroku a producent rozšiřuje výrobu  z y</w:t>
      </w:r>
      <w:r w:rsidRPr="00E54D02">
        <w:rPr>
          <w:vertAlign w:val="superscript"/>
        </w:rPr>
        <w:t xml:space="preserve">t </w:t>
      </w:r>
      <w:r w:rsidRPr="00E54D02">
        <w:t>na y</w:t>
      </w:r>
      <w:r w:rsidRPr="00E54D02">
        <w:rPr>
          <w:vertAlign w:val="superscript"/>
        </w:rPr>
        <w:t>t+1</w:t>
      </w:r>
      <w:r w:rsidRPr="00E54D02">
        <w:t>, může to znamenat, že důsledku  technologického pokroutku dojde k růstu  produktivity fx(t+1) je větší než f(t).  Současně je zřejmé, že došlo k růstu produktivity, neboť (y</w:t>
      </w:r>
      <w:r w:rsidRPr="00E54D02">
        <w:rPr>
          <w:vertAlign w:val="superscript"/>
        </w:rPr>
        <w:t>t</w:t>
      </w:r>
      <w:r w:rsidRPr="00E54D02">
        <w:rPr>
          <w:rFonts w:eastAsiaTheme="minorHAnsi"/>
          <w:vertAlign w:val="superscript"/>
        </w:rPr>
        <w:t>+</w:t>
      </w:r>
      <w:r w:rsidRPr="00E54D02">
        <w:rPr>
          <w:vertAlign w:val="superscript"/>
        </w:rPr>
        <w:t>1</w:t>
      </w:r>
      <w:r w:rsidRPr="00E54D02">
        <w:t>/x</w:t>
      </w:r>
      <w:r w:rsidRPr="00E54D02">
        <w:rPr>
          <w:vertAlign w:val="superscript"/>
        </w:rPr>
        <w:t>t</w:t>
      </w:r>
      <w:r w:rsidRPr="00E54D02">
        <w:rPr>
          <w:rFonts w:eastAsiaTheme="minorHAnsi"/>
          <w:vertAlign w:val="superscript"/>
        </w:rPr>
        <w:t>+</w:t>
      </w:r>
      <w:r w:rsidRPr="00E54D02">
        <w:rPr>
          <w:vertAlign w:val="superscript"/>
        </w:rPr>
        <w:t>1</w:t>
      </w:r>
      <w:r w:rsidRPr="00E54D02">
        <w:t>)</w:t>
      </w:r>
      <w:r w:rsidRPr="00E54D02">
        <w:rPr>
          <w:vertAlign w:val="superscript"/>
        </w:rPr>
        <w:t xml:space="preserve"> </w:t>
      </w:r>
      <w:r w:rsidRPr="00E54D02">
        <w:t>&gt; (y</w:t>
      </w:r>
      <w:r w:rsidRPr="00E54D02">
        <w:rPr>
          <w:vertAlign w:val="superscript"/>
        </w:rPr>
        <w:t>t</w:t>
      </w:r>
      <w:r w:rsidRPr="00E54D02">
        <w:t>/x</w:t>
      </w:r>
      <w:r w:rsidRPr="00E54D02">
        <w:rPr>
          <w:vertAlign w:val="superscript"/>
        </w:rPr>
        <w:t>t</w:t>
      </w:r>
      <w:r w:rsidRPr="00E54D02">
        <w:t>).   Z uvedeného lze vyvodit, že v případě jednoho výstupu a jednoho vstupu, je produktivita měřena pomocí yt/xt , což není nic víc než průměrný produkt</w:t>
      </w:r>
      <w:r w:rsidR="00663322" w:rsidRPr="00E54D02">
        <w:t xml:space="preserve"> výrobního faktoru x v čase t (</w:t>
      </w:r>
      <w:r w:rsidRPr="00E54D02">
        <w:t>Kumbhakar, 2006).</w:t>
      </w:r>
    </w:p>
    <w:p w:rsidR="00EC028B" w:rsidRPr="00E54D02" w:rsidRDefault="00EC028B" w:rsidP="00E54D02">
      <w:pPr>
        <w:spacing w:line="360" w:lineRule="auto"/>
      </w:pPr>
    </w:p>
    <w:p w:rsidR="00EC028B" w:rsidRPr="00E54D02" w:rsidRDefault="00C52532" w:rsidP="00E54D02">
      <w:pPr>
        <w:spacing w:line="360" w:lineRule="auto"/>
      </w:pPr>
      <w:r w:rsidRPr="00E54D02">
        <w:t>Obrázek č. X. :</w:t>
      </w:r>
    </w:p>
    <w:p w:rsidR="00EC028B" w:rsidRPr="00E54D02" w:rsidRDefault="00EC028B" w:rsidP="00E54D02">
      <w:pPr>
        <w:spacing w:line="360" w:lineRule="auto"/>
      </w:pPr>
    </w:p>
    <w:p w:rsidR="007F36FB" w:rsidRPr="00E54D02" w:rsidRDefault="008C4950" w:rsidP="00E54D02">
      <w:pPr>
        <w:spacing w:line="360" w:lineRule="auto"/>
      </w:pPr>
      <w:r w:rsidRPr="00E54D02">
        <w:rPr>
          <w:noProof/>
        </w:rPr>
        <mc:AlternateContent>
          <mc:Choice Requires="wpg">
            <w:drawing>
              <wp:anchor distT="0" distB="0" distL="114300" distR="114300" simplePos="0" relativeHeight="251679744" behindDoc="0" locked="0" layoutInCell="1" allowOverlap="1" wp14:anchorId="6FE3E2A1" wp14:editId="147A2FE7">
                <wp:simplePos x="0" y="0"/>
                <wp:positionH relativeFrom="column">
                  <wp:posOffset>0</wp:posOffset>
                </wp:positionH>
                <wp:positionV relativeFrom="paragraph">
                  <wp:posOffset>0</wp:posOffset>
                </wp:positionV>
                <wp:extent cx="4360122" cy="3369522"/>
                <wp:effectExtent l="0" t="0" r="0" b="0"/>
                <wp:wrapNone/>
                <wp:docPr id="3" name="Skupina 3"/>
                <wp:cNvGraphicFramePr/>
                <a:graphic xmlns:a="http://schemas.openxmlformats.org/drawingml/2006/main">
                  <a:graphicData uri="http://schemas.microsoft.com/office/word/2010/wordprocessingGroup">
                    <wpg:wgp>
                      <wpg:cNvGrpSpPr/>
                      <wpg:grpSpPr>
                        <a:xfrm>
                          <a:off x="0" y="0"/>
                          <a:ext cx="4360122" cy="3369522"/>
                          <a:chOff x="321733" y="0"/>
                          <a:chExt cx="4360122" cy="3369522"/>
                        </a:xfrm>
                      </wpg:grpSpPr>
                      <wps:wsp>
                        <wps:cNvPr id="8" name="Přímá spojnice 8"/>
                        <wps:cNvCnPr/>
                        <wps:spPr>
                          <a:xfrm>
                            <a:off x="694273" y="508001"/>
                            <a:ext cx="135890" cy="0"/>
                          </a:xfrm>
                          <a:prstGeom prst="line">
                            <a:avLst/>
                          </a:prstGeom>
                        </wps:spPr>
                        <wps:style>
                          <a:lnRef idx="1">
                            <a:schemeClr val="dk1"/>
                          </a:lnRef>
                          <a:fillRef idx="0">
                            <a:schemeClr val="dk1"/>
                          </a:fillRef>
                          <a:effectRef idx="0">
                            <a:schemeClr val="dk1"/>
                          </a:effectRef>
                          <a:fontRef idx="minor">
                            <a:schemeClr val="tx1"/>
                          </a:fontRef>
                        </wps:style>
                        <wps:bodyPr/>
                      </wps:wsp>
                      <wpg:grpSp>
                        <wpg:cNvPr id="9" name="Skupina 9"/>
                        <wpg:cNvGrpSpPr/>
                        <wpg:grpSpPr>
                          <a:xfrm>
                            <a:off x="321733" y="0"/>
                            <a:ext cx="4360122" cy="3369522"/>
                            <a:chOff x="0" y="0"/>
                            <a:chExt cx="4360122" cy="3369522"/>
                          </a:xfrm>
                        </wpg:grpSpPr>
                        <wps:wsp>
                          <wps:cNvPr id="10" name="Freeform 10"/>
                          <wps:cNvSpPr>
                            <a:spLocks/>
                          </wps:cNvSpPr>
                          <wps:spPr bwMode="auto">
                            <a:xfrm rot="5850117">
                              <a:off x="647699" y="452967"/>
                              <a:ext cx="2241550" cy="2393315"/>
                            </a:xfrm>
                            <a:custGeom>
                              <a:avLst/>
                              <a:gdLst/>
                              <a:ahLst/>
                              <a:cxnLst>
                                <a:cxn ang="0">
                                  <a:pos x="0" y="0"/>
                                </a:cxn>
                                <a:cxn ang="0">
                                  <a:pos x="96" y="480"/>
                                </a:cxn>
                                <a:cxn ang="0">
                                  <a:pos x="288" y="960"/>
                                </a:cxn>
                                <a:cxn ang="0">
                                  <a:pos x="624" y="1392"/>
                                </a:cxn>
                                <a:cxn ang="0">
                                  <a:pos x="1152" y="1728"/>
                                </a:cxn>
                                <a:cxn ang="0">
                                  <a:pos x="1680" y="1872"/>
                                </a:cxn>
                                <a:cxn ang="0">
                                  <a:pos x="2112" y="1920"/>
                                </a:cxn>
                              </a:cxnLst>
                              <a:rect l="0" t="0" r="r" b="b"/>
                              <a:pathLst>
                                <a:path w="2112" h="1920">
                                  <a:moveTo>
                                    <a:pt x="0" y="0"/>
                                  </a:moveTo>
                                  <a:cubicBezTo>
                                    <a:pt x="24" y="160"/>
                                    <a:pt x="48" y="320"/>
                                    <a:pt x="96" y="480"/>
                                  </a:cubicBezTo>
                                  <a:cubicBezTo>
                                    <a:pt x="144" y="640"/>
                                    <a:pt x="200" y="808"/>
                                    <a:pt x="288" y="960"/>
                                  </a:cubicBezTo>
                                  <a:cubicBezTo>
                                    <a:pt x="376" y="1112"/>
                                    <a:pt x="480" y="1264"/>
                                    <a:pt x="624" y="1392"/>
                                  </a:cubicBezTo>
                                  <a:cubicBezTo>
                                    <a:pt x="768" y="1520"/>
                                    <a:pt x="976" y="1648"/>
                                    <a:pt x="1152" y="1728"/>
                                  </a:cubicBezTo>
                                  <a:cubicBezTo>
                                    <a:pt x="1328" y="1808"/>
                                    <a:pt x="1520" y="1840"/>
                                    <a:pt x="1680" y="1872"/>
                                  </a:cubicBezTo>
                                  <a:cubicBezTo>
                                    <a:pt x="1840" y="1904"/>
                                    <a:pt x="2040" y="1912"/>
                                    <a:pt x="2112" y="1920"/>
                                  </a:cubicBezTo>
                                </a:path>
                              </a:pathLst>
                            </a:cu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rap="none"/>
                        </wps:wsp>
                        <wpg:grpSp>
                          <wpg:cNvPr id="14" name="Skupina 14"/>
                          <wpg:cNvGrpSpPr/>
                          <wpg:grpSpPr>
                            <a:xfrm>
                              <a:off x="0" y="0"/>
                              <a:ext cx="4360122" cy="3369522"/>
                              <a:chOff x="0" y="0"/>
                              <a:chExt cx="4360122" cy="3369522"/>
                            </a:xfrm>
                          </wpg:grpSpPr>
                          <wps:wsp>
                            <wps:cNvPr id="15" name="Přímá spojnice se šipkou 15"/>
                            <wps:cNvCnPr/>
                            <wps:spPr>
                              <a:xfrm flipV="1">
                                <a:off x="423333" y="127000"/>
                                <a:ext cx="25400" cy="24974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6" name="Přímá spojnice se šipkou 16"/>
                            <wps:cNvCnPr/>
                            <wps:spPr>
                              <a:xfrm flipV="1">
                                <a:off x="423333" y="2582333"/>
                                <a:ext cx="3275965" cy="450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7" name="Freeform 10"/>
                            <wps:cNvSpPr>
                              <a:spLocks/>
                            </wps:cNvSpPr>
                            <wps:spPr bwMode="auto">
                              <a:xfrm rot="5572777">
                                <a:off x="436034" y="97367"/>
                                <a:ext cx="2654813" cy="2544323"/>
                              </a:xfrm>
                              <a:custGeom>
                                <a:avLst/>
                                <a:gdLst/>
                                <a:ahLst/>
                                <a:cxnLst>
                                  <a:cxn ang="0">
                                    <a:pos x="0" y="0"/>
                                  </a:cxn>
                                  <a:cxn ang="0">
                                    <a:pos x="96" y="480"/>
                                  </a:cxn>
                                  <a:cxn ang="0">
                                    <a:pos x="288" y="960"/>
                                  </a:cxn>
                                  <a:cxn ang="0">
                                    <a:pos x="624" y="1392"/>
                                  </a:cxn>
                                  <a:cxn ang="0">
                                    <a:pos x="1152" y="1728"/>
                                  </a:cxn>
                                  <a:cxn ang="0">
                                    <a:pos x="1680" y="1872"/>
                                  </a:cxn>
                                  <a:cxn ang="0">
                                    <a:pos x="2112" y="1920"/>
                                  </a:cxn>
                                </a:cxnLst>
                                <a:rect l="0" t="0" r="r" b="b"/>
                                <a:pathLst>
                                  <a:path w="2112" h="1920">
                                    <a:moveTo>
                                      <a:pt x="0" y="0"/>
                                    </a:moveTo>
                                    <a:cubicBezTo>
                                      <a:pt x="24" y="160"/>
                                      <a:pt x="48" y="320"/>
                                      <a:pt x="96" y="480"/>
                                    </a:cubicBezTo>
                                    <a:cubicBezTo>
                                      <a:pt x="144" y="640"/>
                                      <a:pt x="200" y="808"/>
                                      <a:pt x="288" y="960"/>
                                    </a:cubicBezTo>
                                    <a:cubicBezTo>
                                      <a:pt x="376" y="1112"/>
                                      <a:pt x="480" y="1264"/>
                                      <a:pt x="624" y="1392"/>
                                    </a:cubicBezTo>
                                    <a:cubicBezTo>
                                      <a:pt x="768" y="1520"/>
                                      <a:pt x="976" y="1648"/>
                                      <a:pt x="1152" y="1728"/>
                                    </a:cubicBezTo>
                                    <a:cubicBezTo>
                                      <a:pt x="1328" y="1808"/>
                                      <a:pt x="1520" y="1840"/>
                                      <a:pt x="1680" y="1872"/>
                                    </a:cubicBezTo>
                                    <a:cubicBezTo>
                                      <a:pt x="1840" y="1904"/>
                                      <a:pt x="2040" y="1912"/>
                                      <a:pt x="2112" y="1920"/>
                                    </a:cubicBezTo>
                                  </a:path>
                                </a:pathLst>
                              </a:cu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rap="none"/>
                          </wps:wsp>
                          <wps:wsp>
                            <wps:cNvPr id="29" name="Textové pole 29"/>
                            <wps:cNvSpPr txBox="1"/>
                            <wps:spPr>
                              <a:xfrm>
                                <a:off x="152400" y="0"/>
                                <a:ext cx="262255" cy="363220"/>
                              </a:xfrm>
                              <a:prstGeom prst="rect">
                                <a:avLst/>
                              </a:prstGeom>
                              <a:solidFill>
                                <a:schemeClr val="lt1"/>
                              </a:solidFill>
                              <a:ln w="6350">
                                <a:noFill/>
                              </a:ln>
                            </wps:spPr>
                            <wps:txbx>
                              <w:txbxContent>
                                <w:p w:rsidR="00663322" w:rsidRDefault="00663322" w:rsidP="008C4950">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ové pole 30"/>
                            <wps:cNvSpPr txBox="1"/>
                            <wps:spPr>
                              <a:xfrm>
                                <a:off x="0" y="364067"/>
                                <a:ext cx="381000" cy="363220"/>
                              </a:xfrm>
                              <a:prstGeom prst="rect">
                                <a:avLst/>
                              </a:prstGeom>
                              <a:solidFill>
                                <a:schemeClr val="lt1"/>
                              </a:solidFill>
                              <a:ln w="6350">
                                <a:noFill/>
                              </a:ln>
                            </wps:spPr>
                            <wps:txbx>
                              <w:txbxContent>
                                <w:p w:rsidR="00663322" w:rsidRPr="00797B41" w:rsidRDefault="00663322" w:rsidP="008C4950">
                                  <w:pPr>
                                    <w:rPr>
                                      <w:vertAlign w:val="superscript"/>
                                    </w:rPr>
                                  </w:pPr>
                                  <w:r>
                                    <w:t>Y</w:t>
                                  </w:r>
                                  <w:r w:rsidRPr="00797B41">
                                    <w:rPr>
                                      <w:vertAlign w:val="superscript"/>
                                    </w:rPr>
                                    <w:t>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ové pole 31"/>
                            <wps:cNvSpPr txBox="1"/>
                            <wps:spPr>
                              <a:xfrm>
                                <a:off x="110066" y="1735667"/>
                                <a:ext cx="236855" cy="363220"/>
                              </a:xfrm>
                              <a:prstGeom prst="rect">
                                <a:avLst/>
                              </a:prstGeom>
                              <a:solidFill>
                                <a:schemeClr val="lt1"/>
                              </a:solidFill>
                              <a:ln w="6350">
                                <a:noFill/>
                              </a:ln>
                            </wps:spPr>
                            <wps:txbx>
                              <w:txbxContent>
                                <w:p w:rsidR="00663322" w:rsidRPr="00797B41" w:rsidRDefault="00663322" w:rsidP="008C4950">
                                  <w:r>
                                    <w:t>Y</w:t>
                                  </w:r>
                                  <w:r>
                                    <w:rPr>
                                      <w:vertAlign w:val="superscript"/>
                                    </w:rPr>
                                    <w:t>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2" name="Přímá spojnice 32"/>
                            <wps:cNvCnPr/>
                            <wps:spPr>
                              <a:xfrm>
                                <a:off x="372533" y="1888067"/>
                                <a:ext cx="135890" cy="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Textové pole 33"/>
                            <wps:cNvSpPr txBox="1"/>
                            <wps:spPr>
                              <a:xfrm>
                                <a:off x="2294466" y="2641600"/>
                                <a:ext cx="381000" cy="363220"/>
                              </a:xfrm>
                              <a:prstGeom prst="rect">
                                <a:avLst/>
                              </a:prstGeom>
                              <a:solidFill>
                                <a:schemeClr val="lt1"/>
                              </a:solidFill>
                              <a:ln w="6350">
                                <a:noFill/>
                              </a:ln>
                            </wps:spPr>
                            <wps:txbx>
                              <w:txbxContent>
                                <w:p w:rsidR="00663322" w:rsidRPr="00797B41" w:rsidRDefault="00663322" w:rsidP="008C4950">
                                  <w:pPr>
                                    <w:rPr>
                                      <w:vertAlign w:val="superscript"/>
                                    </w:rPr>
                                  </w:pPr>
                                  <w:r>
                                    <w:t>x</w:t>
                                  </w:r>
                                  <w:r w:rsidRPr="00797B41">
                                    <w:rPr>
                                      <w:vertAlign w:val="superscript"/>
                                    </w:rPr>
                                    <w:t>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ové pole 34"/>
                            <wps:cNvSpPr txBox="1"/>
                            <wps:spPr>
                              <a:xfrm>
                                <a:off x="1109133" y="2650067"/>
                                <a:ext cx="381000" cy="363220"/>
                              </a:xfrm>
                              <a:prstGeom prst="rect">
                                <a:avLst/>
                              </a:prstGeom>
                              <a:solidFill>
                                <a:schemeClr val="lt1"/>
                              </a:solidFill>
                              <a:ln w="6350">
                                <a:noFill/>
                              </a:ln>
                            </wps:spPr>
                            <wps:txbx>
                              <w:txbxContent>
                                <w:p w:rsidR="00663322" w:rsidRPr="00797B41" w:rsidRDefault="00663322" w:rsidP="008C4950">
                                  <w:pPr>
                                    <w:rPr>
                                      <w:vertAlign w:val="superscript"/>
                                    </w:rPr>
                                  </w:pPr>
                                  <w:r>
                                    <w:t>x</w:t>
                                  </w:r>
                                  <w:r>
                                    <w:rPr>
                                      <w:vertAlign w:val="superscript"/>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ové pole 35"/>
                            <wps:cNvSpPr txBox="1"/>
                            <wps:spPr>
                              <a:xfrm>
                                <a:off x="3733800" y="2590800"/>
                                <a:ext cx="227965" cy="342900"/>
                              </a:xfrm>
                              <a:prstGeom prst="rect">
                                <a:avLst/>
                              </a:prstGeom>
                              <a:solidFill>
                                <a:schemeClr val="lt1"/>
                              </a:solidFill>
                              <a:ln w="6350">
                                <a:noFill/>
                              </a:ln>
                            </wps:spPr>
                            <wps:txbx>
                              <w:txbxContent>
                                <w:p w:rsidR="00663322" w:rsidRDefault="00663322" w:rsidP="008C4950">
                                  <w: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Textové pole 36"/>
                            <wps:cNvSpPr txBox="1"/>
                            <wps:spPr>
                              <a:xfrm>
                                <a:off x="3098800" y="0"/>
                                <a:ext cx="812165" cy="363220"/>
                              </a:xfrm>
                              <a:prstGeom prst="rect">
                                <a:avLst/>
                              </a:prstGeom>
                              <a:solidFill>
                                <a:schemeClr val="lt1"/>
                              </a:solidFill>
                              <a:ln w="6350">
                                <a:noFill/>
                              </a:ln>
                            </wps:spPr>
                            <wps:txbx>
                              <w:txbxContent>
                                <w:p w:rsidR="00663322" w:rsidRPr="00797B41" w:rsidRDefault="00663322" w:rsidP="008C4950">
                                  <w:pPr>
                                    <w:rPr>
                                      <w:vertAlign w:val="superscript"/>
                                    </w:rPr>
                                  </w:pPr>
                                  <w:proofErr w:type="gramStart"/>
                                  <w:r>
                                    <w:t>f(x,t+1</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ové pole 37"/>
                            <wps:cNvSpPr txBox="1"/>
                            <wps:spPr>
                              <a:xfrm>
                                <a:off x="3090333" y="516467"/>
                                <a:ext cx="608965" cy="363220"/>
                              </a:xfrm>
                              <a:prstGeom prst="rect">
                                <a:avLst/>
                              </a:prstGeom>
                              <a:solidFill>
                                <a:schemeClr val="lt1"/>
                              </a:solidFill>
                              <a:ln w="6350">
                                <a:noFill/>
                              </a:ln>
                            </wps:spPr>
                            <wps:txbx>
                              <w:txbxContent>
                                <w:p w:rsidR="00663322" w:rsidRPr="00797B41" w:rsidRDefault="00663322" w:rsidP="008C4950">
                                  <w:pPr>
                                    <w:rPr>
                                      <w:vertAlign w:val="superscript"/>
                                    </w:rPr>
                                  </w:pPr>
                                  <w:proofErr w:type="gramStart"/>
                                  <w:r>
                                    <w:t>f(x,t)</w:t>
                                  </w:r>
                                  <w:proofErr w:type="gramEnd"/>
                                </w:p>
                                <w:p w:rsidR="00663322" w:rsidRPr="00797B41" w:rsidRDefault="00663322" w:rsidP="008C4950">
                                  <w:pPr>
                                    <w:rPr>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Zaoblený obdélník 38"/>
                            <wps:cNvSpPr/>
                            <wps:spPr>
                              <a:xfrm flipH="1" flipV="1">
                                <a:off x="1227666" y="1854200"/>
                                <a:ext cx="92710" cy="100965"/>
                              </a:xfrm>
                              <a:prstGeom prst="roundRect">
                                <a:avLst/>
                              </a:prstGeom>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Přímá spojnice 39"/>
                            <wps:cNvCnPr/>
                            <wps:spPr>
                              <a:xfrm>
                                <a:off x="1278466" y="2556934"/>
                                <a:ext cx="0" cy="109855"/>
                              </a:xfrm>
                              <a:prstGeom prst="line">
                                <a:avLst/>
                              </a:prstGeom>
                            </wps:spPr>
                            <wps:style>
                              <a:lnRef idx="1">
                                <a:schemeClr val="dk1"/>
                              </a:lnRef>
                              <a:fillRef idx="0">
                                <a:schemeClr val="dk1"/>
                              </a:fillRef>
                              <a:effectRef idx="0">
                                <a:schemeClr val="dk1"/>
                              </a:effectRef>
                              <a:fontRef idx="minor">
                                <a:schemeClr val="tx1"/>
                              </a:fontRef>
                            </wps:style>
                            <wps:bodyPr/>
                          </wps:wsp>
                          <wps:wsp>
                            <wps:cNvPr id="40" name="Přímá spojnice 40"/>
                            <wps:cNvCnPr/>
                            <wps:spPr>
                              <a:xfrm flipV="1">
                                <a:off x="2446866" y="2540000"/>
                                <a:ext cx="0" cy="10922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Zaoblený obdélník 41"/>
                            <wps:cNvSpPr/>
                            <wps:spPr>
                              <a:xfrm flipH="1" flipV="1">
                                <a:off x="2345266" y="440267"/>
                                <a:ext cx="92710" cy="100965"/>
                              </a:xfrm>
                              <a:prstGeom prst="roundRect">
                                <a:avLst/>
                              </a:prstGeom>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blouk 42"/>
                            <wps:cNvSpPr/>
                            <wps:spPr>
                              <a:xfrm rot="16468293">
                                <a:off x="1354667" y="364067"/>
                                <a:ext cx="2919095" cy="3091815"/>
                              </a:xfrm>
                              <a:prstGeom prst="arc">
                                <a:avLst>
                                  <a:gd name="adj1" fmla="val 16055533"/>
                                  <a:gd name="adj2" fmla="val 20199829"/>
                                </a:avLst>
                              </a:prstGeom>
                              <a:ln w="9525">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anchor>
            </w:drawing>
          </mc:Choice>
          <mc:Fallback>
            <w:pict>
              <v:group w14:anchorId="6FE3E2A1" id="Skupina 3" o:spid="_x0000_s1034" style="position:absolute;margin-left:0;margin-top:0;width:343.3pt;height:265.3pt;z-index:251679744;mso-width-relative:margin" coordorigin="3217" coordsize="43601,3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">
                <v:line id="Přímá spojnice 8" o:spid="_x0000_s1035" style="position:absolute;visibility:visible;mso-wrap-style:square" from="6942,5080" to="830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group id="Skupina 9" o:spid="_x0000_s1036" style="position:absolute;left:3217;width:43601;height:33695" coordsize="43601,3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7" style="position:absolute;left:6477;top:4529;width:22416;height:23933;rotation:6389888fd;visibility:visible;mso-wrap-style:none;v-text-anchor:top" coordsize="21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" path="m,c24,160,48,320,96,480v48,160,104,328,192,480c376,1112,480,1264,624,1392v144,128,352,256,528,336c1328,1808,1520,1840,1680,1872v160,32,360,40,432,48e" filled="f" strokecolor="black [3200]" strokeweight="1pt">
                    <v:stroke joinstyle="miter"/>
                    <v:path arrowok="t" o:connecttype="custom" o:connectlocs="0,0;96,480;288,960;624,1392;1152,1728;1680,1872;2112,1920" o:connectangles="0,0,0,0,0,0,0"/>
                  </v:shape>
                  <v:group id="Skupina 14" o:spid="_x0000_s1038" style="position:absolute;width:43601;height:33695" coordsize="43601,3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Přímá spojnice se šipkou 15" o:spid="_x0000_s1039" type="#_x0000_t32" style="position:absolute;left:4233;top:1270;width:254;height:249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" strokecolor="black [3200]" strokeweight="1pt">
                      <v:stroke endarrow="block" joinstyle="miter"/>
                    </v:shape>
                    <v:shape id="Přímá spojnice se šipkou 16" o:spid="_x0000_s1040" type="#_x0000_t32" style="position:absolute;left:4233;top:25823;width:32759;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" strokecolor="black [3200]" strokeweight="1pt">
                      <v:stroke endarrow="block" joinstyle="miter"/>
                    </v:shape>
                    <v:shape id="Freeform 10" o:spid="_x0000_s1041" style="position:absolute;left:4360;top:973;width:26548;height:25444;rotation:6086959fd;visibility:visible;mso-wrap-style:none;v-text-anchor:top" coordsize="21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" path="m,c24,160,48,320,96,480v48,160,104,328,192,480c376,1112,480,1264,624,1392v144,128,352,256,528,336c1328,1808,1520,1840,1680,1872v160,32,360,40,432,48e" filled="f" strokecolor="black [3200]" strokeweight="1pt">
                      <v:stroke joinstyle="miter"/>
                      <v:path arrowok="t" o:connecttype="custom" o:connectlocs="0,0;96,480;288,960;624,1392;1152,1728;1680,1872;2112,1920" o:connectangles="0,0,0,0,0,0,0"/>
                    </v:shape>
                    <v:shape id="Textové pole 29" o:spid="_x0000_s1042" type="#_x0000_t202" style="position:absolute;left:1524;width:2622;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rsidR="00663322" w:rsidRDefault="00663322" w:rsidP="008C4950">
                            <w:r>
                              <w:t>y</w:t>
                            </w:r>
                          </w:p>
                        </w:txbxContent>
                      </v:textbox>
                    </v:shape>
                    <v:shape id="Textové pole 30" o:spid="_x0000_s1043" type="#_x0000_t202" style="position:absolute;top:3640;width:3810;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rsidR="00663322" w:rsidRPr="00797B41" w:rsidRDefault="00663322" w:rsidP="008C4950">
                            <w:pPr>
                              <w:rPr>
                                <w:vertAlign w:val="superscript"/>
                              </w:rPr>
                            </w:pPr>
                            <w:r>
                              <w:t>Y</w:t>
                            </w:r>
                            <w:r w:rsidRPr="00797B41">
                              <w:rPr>
                                <w:vertAlign w:val="superscript"/>
                              </w:rPr>
                              <w:t>t+1</w:t>
                            </w:r>
                          </w:p>
                        </w:txbxContent>
                      </v:textbox>
                    </v:shape>
                    <v:shape id="Textové pole 31" o:spid="_x0000_s1044" type="#_x0000_t202" style="position:absolute;left:1100;top:17356;width:236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" fillcolor="white [3201]" stroked="f" strokeweight=".5pt">
                      <v:textbox inset="1mm,1mm,1mm,1mm">
                        <w:txbxContent>
                          <w:p w:rsidR="00663322" w:rsidRPr="00797B41" w:rsidRDefault="00663322" w:rsidP="008C4950">
                            <w:r>
                              <w:t>Y</w:t>
                            </w:r>
                            <w:r>
                              <w:rPr>
                                <w:vertAlign w:val="superscript"/>
                              </w:rPr>
                              <w:t>t</w:t>
                            </w:r>
                          </w:p>
                        </w:txbxContent>
                      </v:textbox>
                    </v:shape>
                    <v:line id="Přímá spojnice 32" o:spid="_x0000_s1045" style="position:absolute;visibility:visible;mso-wrap-style:square" from="3725,18880" to="5084,1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shape id="Textové pole 33" o:spid="_x0000_s1046" type="#_x0000_t202" style="position:absolute;left:22944;top:26416;width:3810;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rsidR="00663322" w:rsidRPr="00797B41" w:rsidRDefault="00663322" w:rsidP="008C4950">
                            <w:pPr>
                              <w:rPr>
                                <w:vertAlign w:val="superscript"/>
                              </w:rPr>
                            </w:pPr>
                            <w:r>
                              <w:t>x</w:t>
                            </w:r>
                            <w:r w:rsidRPr="00797B41">
                              <w:rPr>
                                <w:vertAlign w:val="superscript"/>
                              </w:rPr>
                              <w:t>t+1</w:t>
                            </w:r>
                          </w:p>
                        </w:txbxContent>
                      </v:textbox>
                    </v:shape>
                    <v:shape id="Textové pole 34" o:spid="_x0000_s1047" type="#_x0000_t202" style="position:absolute;left:11091;top:26500;width:3810;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rsidR="00663322" w:rsidRPr="00797B41" w:rsidRDefault="00663322" w:rsidP="008C4950">
                            <w:pPr>
                              <w:rPr>
                                <w:vertAlign w:val="superscript"/>
                              </w:rPr>
                            </w:pPr>
                            <w:r>
                              <w:t>x</w:t>
                            </w:r>
                            <w:r>
                              <w:rPr>
                                <w:vertAlign w:val="superscript"/>
                              </w:rPr>
                              <w:t>t</w:t>
                            </w:r>
                          </w:p>
                        </w:txbxContent>
                      </v:textbox>
                    </v:shape>
                    <v:shape id="Textové pole 35" o:spid="_x0000_s1048" type="#_x0000_t202" style="position:absolute;left:37338;top:25908;width:227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rsidR="00663322" w:rsidRDefault="00663322" w:rsidP="008C4950">
                            <w:r>
                              <w:t>x</w:t>
                            </w:r>
                          </w:p>
                        </w:txbxContent>
                      </v:textbox>
                    </v:shape>
                    <v:shape id="Textové pole 36" o:spid="_x0000_s1049" type="#_x0000_t202" style="position:absolute;left:30988;width:8121;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rsidR="00663322" w:rsidRPr="00797B41" w:rsidRDefault="00663322" w:rsidP="008C4950">
                            <w:pPr>
                              <w:rPr>
                                <w:vertAlign w:val="superscript"/>
                              </w:rPr>
                            </w:pPr>
                            <w:proofErr w:type="gramStart"/>
                            <w:r>
                              <w:t>f(x,t+1</w:t>
                            </w:r>
                            <w:proofErr w:type="gramEnd"/>
                            <w:r>
                              <w:t>)</w:t>
                            </w:r>
                          </w:p>
                        </w:txbxContent>
                      </v:textbox>
                    </v:shape>
                    <v:shape id="Textové pole 37" o:spid="_x0000_s1050" type="#_x0000_t202" style="position:absolute;left:30903;top:5164;width:608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rsidR="00663322" w:rsidRPr="00797B41" w:rsidRDefault="00663322" w:rsidP="008C4950">
                            <w:pPr>
                              <w:rPr>
                                <w:vertAlign w:val="superscript"/>
                              </w:rPr>
                            </w:pPr>
                            <w:proofErr w:type="gramStart"/>
                            <w:r>
                              <w:t>f(x,t)</w:t>
                            </w:r>
                            <w:proofErr w:type="gramEnd"/>
                          </w:p>
                          <w:p w:rsidR="00663322" w:rsidRPr="00797B41" w:rsidRDefault="00663322" w:rsidP="008C4950">
                            <w:pPr>
                              <w:rPr>
                                <w:vertAlign w:val="superscript"/>
                              </w:rPr>
                            </w:pPr>
                          </w:p>
                        </w:txbxContent>
                      </v:textbox>
                    </v:shape>
                    <v:roundrect id="Zaoblený obdélník 38" o:spid="_x0000_s1051" style="position:absolute;left:12276;top:18542;width:927;height:1009;flip:x 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" fillcolor="black [3200]" strokecolor="black [1600]" strokeweight=".25pt">
                      <v:stroke joinstyle="miter"/>
                    </v:roundrect>
                    <v:line id="Přímá spojnice 39" o:spid="_x0000_s1052" style="position:absolute;visibility:visible;mso-wrap-style:square" from="12784,25569" to="12784,2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" strokecolor="black [3200]" strokeweight=".5pt">
                      <v:stroke joinstyle="miter"/>
                    </v:line>
                    <v:line id="Přímá spojnice 40" o:spid="_x0000_s1053" style="position:absolute;flip:y;visibility:visible;mso-wrap-style:square" from="24468,25400" to="24468,2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4RuwAAANsAAAAPAAAAZHJzL2Rvd25yZXYueG1sRE9LCsIw&#10;EN0L3iGM4M6mi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AKvXhG7AAAA2wAAAA8AAAAAAAAAAAAA&#10;AAAABwIAAGRycy9kb3ducmV2LnhtbFBLBQYAAAAAAwADALcAAADvAgAAAAA=&#10;" strokecolor="black [3200]" strokeweight=".5pt">
                      <v:stroke joinstyle="miter"/>
                    </v:line>
                    <v:roundrect id="Zaoblený obdélník 41" o:spid="_x0000_s1054" style="position:absolute;left:23452;top:4402;width:927;height:1010;flip:x 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" fillcolor="black [3200]" strokecolor="black [1600]" strokeweight=".25pt">
                      <v:stroke joinstyle="miter"/>
                    </v:roundrect>
                    <v:shape id="Oblouk 42" o:spid="_x0000_s1055" style="position:absolute;left:13546;top:3641;width:29191;height:30918;rotation:-5605192fd;visibility:visible;mso-wrap-style:square;v-text-anchor:middle" coordsize="2919095,309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" path="m1394609,1531nsc2011215,-27555,2578437,357313,2811267,962754l1459548,1545908,1394609,1531xem1394609,1531nfc2011215,-27555,2578437,357313,2811267,962754e" filled="f" strokecolor="#0d0d0d [3069]">
                      <v:stroke endarrow="block" joinstyle="miter"/>
                      <v:path arrowok="t" o:connecttype="custom" o:connectlocs="1394609,1531;2811267,962754" o:connectangles="0,0"/>
                    </v:shape>
                  </v:group>
                </v:group>
              </v:group>
            </w:pict>
          </mc:Fallback>
        </mc:AlternateContent>
      </w:r>
    </w:p>
    <w:p w:rsidR="007F36FB" w:rsidRPr="00E54D02" w:rsidRDefault="007F36FB" w:rsidP="00E54D02">
      <w:pPr>
        <w:spacing w:line="360" w:lineRule="auto"/>
      </w:pPr>
    </w:p>
    <w:p w:rsidR="007F36FB" w:rsidRPr="00E54D02" w:rsidRDefault="007F36FB" w:rsidP="00E54D02">
      <w:pPr>
        <w:spacing w:line="360" w:lineRule="auto"/>
      </w:pPr>
    </w:p>
    <w:p w:rsidR="007F36FB" w:rsidRPr="00E54D02" w:rsidRDefault="007F36FB" w:rsidP="00E54D02">
      <w:pPr>
        <w:spacing w:line="360" w:lineRule="auto"/>
      </w:pPr>
    </w:p>
    <w:p w:rsidR="007F36FB" w:rsidRPr="00E54D02" w:rsidRDefault="007F36FB" w:rsidP="00E54D02">
      <w:pPr>
        <w:spacing w:line="360" w:lineRule="auto"/>
      </w:pPr>
    </w:p>
    <w:p w:rsidR="007F36FB" w:rsidRPr="00E54D02" w:rsidRDefault="007F36FB" w:rsidP="00E54D02">
      <w:pPr>
        <w:spacing w:line="360" w:lineRule="auto"/>
      </w:pPr>
    </w:p>
    <w:p w:rsidR="007F36FB" w:rsidRPr="00E54D02" w:rsidRDefault="007F36FB" w:rsidP="00E54D02">
      <w:pPr>
        <w:spacing w:line="360" w:lineRule="auto"/>
      </w:pPr>
    </w:p>
    <w:p w:rsidR="007F36FB" w:rsidRPr="00E54D02" w:rsidRDefault="007F36FB" w:rsidP="00E54D02">
      <w:pPr>
        <w:spacing w:line="360" w:lineRule="auto"/>
      </w:pPr>
    </w:p>
    <w:p w:rsidR="00B27E2A" w:rsidRPr="00E54D02" w:rsidRDefault="00B27E2A" w:rsidP="00E54D02">
      <w:pPr>
        <w:spacing w:line="360" w:lineRule="auto"/>
      </w:pPr>
    </w:p>
    <w:p w:rsidR="000F2B27" w:rsidRPr="00E54D02" w:rsidRDefault="000F2B27" w:rsidP="00E54D02">
      <w:pPr>
        <w:spacing w:line="360" w:lineRule="auto"/>
      </w:pPr>
    </w:p>
    <w:p w:rsidR="000F2B27" w:rsidRPr="00E54D02" w:rsidRDefault="000F2B27" w:rsidP="00E54D02">
      <w:pPr>
        <w:spacing w:line="360" w:lineRule="auto"/>
      </w:pPr>
    </w:p>
    <w:p w:rsidR="000F2B27" w:rsidRPr="00E54D02" w:rsidRDefault="000F2B27" w:rsidP="00E54D02">
      <w:pPr>
        <w:spacing w:line="360" w:lineRule="auto"/>
      </w:pPr>
    </w:p>
    <w:p w:rsidR="00907C33" w:rsidRPr="00E54D02" w:rsidRDefault="00907C33" w:rsidP="00E54D02">
      <w:pPr>
        <w:spacing w:line="360" w:lineRule="auto"/>
      </w:pPr>
      <w:r w:rsidRPr="00E54D02">
        <w:t>Produkční funkce je</w:t>
      </w:r>
      <w:r w:rsidR="00EC028B" w:rsidRPr="00E54D02">
        <w:t xml:space="preserve"> tedy významně </w:t>
      </w:r>
      <w:r w:rsidRPr="00E54D02">
        <w:t xml:space="preserve"> ovlivněna změnou produktivity vstupů</w:t>
      </w:r>
      <w:r w:rsidR="00EC028B" w:rsidRPr="00E54D02">
        <w:t>. Můžeme tedy vymezit produkční funkci při rostoucí, neměnné a klesající produktivitě</w:t>
      </w:r>
      <w:r w:rsidR="001719FD" w:rsidRPr="00E54D02">
        <w:t xml:space="preserve"> </w:t>
      </w:r>
      <w:r w:rsidR="00EC028B" w:rsidRPr="00E54D02">
        <w:t>(Hyršlová &amp; Klečka, 2008)</w:t>
      </w:r>
    </w:p>
    <w:p w:rsidR="001719FD" w:rsidRPr="00E54D02" w:rsidRDefault="001719FD" w:rsidP="00E54D02">
      <w:pPr>
        <w:spacing w:line="360" w:lineRule="auto"/>
      </w:pPr>
    </w:p>
    <w:p w:rsidR="00907C33" w:rsidRPr="00E54D02" w:rsidRDefault="00907C33" w:rsidP="00E54D02">
      <w:pPr>
        <w:spacing w:line="360" w:lineRule="auto"/>
      </w:pPr>
    </w:p>
    <w:p w:rsidR="00007C74" w:rsidRPr="00E54D02" w:rsidRDefault="0047639F" w:rsidP="00E54D02">
      <w:pPr>
        <w:shd w:val="clear" w:color="auto" w:fill="FFFFFF"/>
        <w:spacing w:after="360" w:line="360" w:lineRule="auto"/>
        <w:jc w:val="both"/>
        <w:rPr>
          <w:color w:val="333333"/>
          <w:lang w:val="en-GB" w:eastAsia="en-GB"/>
        </w:rPr>
      </w:pPr>
      <w:r w:rsidRPr="00E54D02">
        <w:rPr>
          <w:color w:val="333333"/>
          <w:lang w:val="en-GB" w:eastAsia="en-GB"/>
        </w:rPr>
        <w:t xml:space="preserve">Efektivita </w:t>
      </w:r>
      <w:r w:rsidR="00BB7CAC" w:rsidRPr="00E54D02">
        <w:rPr>
          <w:color w:val="333333"/>
          <w:lang w:val="en-GB" w:eastAsia="en-GB"/>
        </w:rPr>
        <w:t xml:space="preserve">a produktivita rozdíl </w:t>
      </w:r>
    </w:p>
    <w:p w:rsidR="0047639F" w:rsidRPr="00E54D02" w:rsidRDefault="0047639F" w:rsidP="00E54D02">
      <w:pPr>
        <w:shd w:val="clear" w:color="auto" w:fill="FFFFFF"/>
        <w:spacing w:after="360" w:line="360" w:lineRule="auto"/>
        <w:jc w:val="both"/>
        <w:rPr>
          <w:color w:val="333333"/>
          <w:lang w:val="en-GB" w:eastAsia="en-GB"/>
        </w:rPr>
      </w:pPr>
      <w:r w:rsidRPr="00E54D02">
        <w:rPr>
          <w:color w:val="333333"/>
          <w:lang w:val="en-GB" w:eastAsia="en-GB"/>
        </w:rPr>
        <w:t>Nyní se zdá, že efektivita je mnohostranný jev. Podnik lze označit za efektivní, pokud při daném technologickém stavu a p</w:t>
      </w:r>
      <w:r w:rsidR="00FC20C8">
        <w:rPr>
          <w:color w:val="333333"/>
          <w:lang w:val="en-GB" w:eastAsia="en-GB"/>
        </w:rPr>
        <w:t>ři daných vstupech je efektivní tzn.</w:t>
      </w:r>
      <w:r w:rsidRPr="00E54D02">
        <w:rPr>
          <w:color w:val="333333"/>
          <w:lang w:val="en-GB" w:eastAsia="en-GB"/>
        </w:rPr>
        <w:t xml:space="preserve"> </w:t>
      </w:r>
      <w:proofErr w:type="gramStart"/>
      <w:r w:rsidRPr="00E54D02">
        <w:rPr>
          <w:color w:val="333333"/>
          <w:lang w:val="en-GB" w:eastAsia="en-GB"/>
        </w:rPr>
        <w:t>produkuje</w:t>
      </w:r>
      <w:proofErr w:type="gramEnd"/>
      <w:r w:rsidRPr="00E54D02">
        <w:rPr>
          <w:color w:val="333333"/>
          <w:lang w:val="en-GB" w:eastAsia="en-GB"/>
        </w:rPr>
        <w:t xml:space="preserve"> optimální množství </w:t>
      </w:r>
      <w:r w:rsidRPr="00E54D02">
        <w:rPr>
          <w:color w:val="333333"/>
          <w:lang w:val="en-GB" w:eastAsia="en-GB"/>
        </w:rPr>
        <w:lastRenderedPageBreak/>
        <w:t>výstupu. A naopak, firma může být efektivní, pokud při daném technologickém stavu a daných m</w:t>
      </w:r>
      <w:r w:rsidR="00FC20C8">
        <w:rPr>
          <w:color w:val="333333"/>
          <w:lang w:val="en-GB" w:eastAsia="en-GB"/>
        </w:rPr>
        <w:t xml:space="preserve">nožstvích výstupu </w:t>
      </w:r>
      <w:r w:rsidRPr="00E54D02">
        <w:rPr>
          <w:color w:val="333333"/>
          <w:lang w:val="en-GB" w:eastAsia="en-GB"/>
        </w:rPr>
        <w:t xml:space="preserve">používá optimální množství vstupů. Význam slova "optimální" určuje význam pojmu "efektivnost". Obvykle se rozlišuje mezi technickou efektivností </w:t>
      </w:r>
      <w:proofErr w:type="gramStart"/>
      <w:r w:rsidRPr="00E54D02">
        <w:rPr>
          <w:color w:val="333333"/>
          <w:lang w:val="en-GB" w:eastAsia="en-GB"/>
        </w:rPr>
        <w:t>a</w:t>
      </w:r>
      <w:proofErr w:type="gramEnd"/>
      <w:r w:rsidRPr="00E54D02">
        <w:rPr>
          <w:color w:val="333333"/>
          <w:lang w:val="en-GB" w:eastAsia="en-GB"/>
        </w:rPr>
        <w:t xml:space="preserve"> alokační efektivnost</w:t>
      </w:r>
      <w:r w:rsidR="00FC20C8">
        <w:rPr>
          <w:color w:val="333333"/>
          <w:lang w:val="en-GB" w:eastAsia="en-GB"/>
        </w:rPr>
        <w:t>i</w:t>
      </w:r>
      <w:r w:rsidRPr="00E54D02">
        <w:rPr>
          <w:color w:val="333333"/>
          <w:lang w:val="en-GB" w:eastAsia="en-GB"/>
        </w:rPr>
        <w:t xml:space="preserve"> (Balk 2001)</w:t>
      </w:r>
      <w:r w:rsidR="000F2B27" w:rsidRPr="00E54D02">
        <w:rPr>
          <w:color w:val="333333"/>
          <w:lang w:val="en-GB" w:eastAsia="en-GB"/>
        </w:rPr>
        <w:t>.</w:t>
      </w:r>
    </w:p>
    <w:p w:rsidR="00F3549C" w:rsidRPr="00E54D02" w:rsidRDefault="00F3549C" w:rsidP="00E54D02">
      <w:pPr>
        <w:shd w:val="clear" w:color="auto" w:fill="FFFFFF"/>
        <w:spacing w:after="360" w:line="360" w:lineRule="auto"/>
        <w:rPr>
          <w:b/>
          <w:color w:val="333333"/>
          <w:lang w:val="en-GB" w:eastAsia="en-GB"/>
        </w:rPr>
      </w:pPr>
    </w:p>
    <w:p w:rsidR="00F3549C" w:rsidRPr="00E54D02" w:rsidRDefault="00F3549C" w:rsidP="00E54D02">
      <w:pPr>
        <w:shd w:val="clear" w:color="auto" w:fill="FFFFFF"/>
        <w:spacing w:after="360" w:line="360" w:lineRule="auto"/>
        <w:rPr>
          <w:b/>
          <w:color w:val="333333"/>
          <w:lang w:val="en-GB" w:eastAsia="en-GB"/>
        </w:rPr>
      </w:pPr>
    </w:p>
    <w:p w:rsidR="00523F46" w:rsidRPr="00E54D02" w:rsidRDefault="00523F46" w:rsidP="00E54D02">
      <w:pPr>
        <w:shd w:val="clear" w:color="auto" w:fill="FFFFFF"/>
        <w:spacing w:after="360" w:line="360" w:lineRule="auto"/>
        <w:rPr>
          <w:b/>
          <w:color w:val="333333"/>
          <w:lang w:val="en-GB" w:eastAsia="en-GB"/>
        </w:rPr>
      </w:pPr>
      <w:r w:rsidRPr="00E54D02">
        <w:rPr>
          <w:b/>
          <w:color w:val="333333"/>
          <w:lang w:val="en-GB" w:eastAsia="en-GB"/>
        </w:rPr>
        <w:t xml:space="preserve">Efekt dohánění productivity </w:t>
      </w:r>
    </w:p>
    <w:p w:rsidR="00663322" w:rsidRPr="00E54D02" w:rsidRDefault="00663322" w:rsidP="00E54D02">
      <w:pPr>
        <w:shd w:val="clear" w:color="auto" w:fill="FFFFFF"/>
        <w:spacing w:after="360" w:line="360" w:lineRule="auto"/>
        <w:jc w:val="both"/>
        <w:rPr>
          <w:color w:val="0D0D0D"/>
        </w:rPr>
      </w:pPr>
      <w:r w:rsidRPr="00E54D02">
        <w:rPr>
          <w:noProof/>
        </w:rPr>
        <mc:AlternateContent>
          <mc:Choice Requires="wpg">
            <w:drawing>
              <wp:anchor distT="0" distB="0" distL="114300" distR="114300" simplePos="0" relativeHeight="251684864" behindDoc="1" locked="0" layoutInCell="1" allowOverlap="1" wp14:anchorId="2479EFD8" wp14:editId="74F2FDF8">
                <wp:simplePos x="0" y="0"/>
                <wp:positionH relativeFrom="column">
                  <wp:posOffset>426085</wp:posOffset>
                </wp:positionH>
                <wp:positionV relativeFrom="paragraph">
                  <wp:posOffset>1123315</wp:posOffset>
                </wp:positionV>
                <wp:extent cx="5184775" cy="1966595"/>
                <wp:effectExtent l="0" t="0" r="15875" b="14605"/>
                <wp:wrapTight wrapText="bothSides">
                  <wp:wrapPolygon edited="0">
                    <wp:start x="0" y="0"/>
                    <wp:lineTo x="0" y="3139"/>
                    <wp:lineTo x="2540" y="3348"/>
                    <wp:lineTo x="2540" y="19040"/>
                    <wp:lineTo x="7222" y="20087"/>
                    <wp:lineTo x="16190" y="20087"/>
                    <wp:lineTo x="16190" y="21551"/>
                    <wp:lineTo x="20634" y="21551"/>
                    <wp:lineTo x="20793" y="18622"/>
                    <wp:lineTo x="17619" y="18203"/>
                    <wp:lineTo x="3889" y="16739"/>
                    <wp:lineTo x="6270" y="13391"/>
                    <wp:lineTo x="16349" y="10253"/>
                    <wp:lineTo x="17777" y="10043"/>
                    <wp:lineTo x="18968" y="8369"/>
                    <wp:lineTo x="18888" y="6696"/>
                    <wp:lineTo x="21587" y="5022"/>
                    <wp:lineTo x="21587" y="1883"/>
                    <wp:lineTo x="4286" y="0"/>
                    <wp:lineTo x="0" y="0"/>
                  </wp:wrapPolygon>
                </wp:wrapTight>
                <wp:docPr id="24" name="Skupina 24"/>
                <wp:cNvGraphicFramePr/>
                <a:graphic xmlns:a="http://schemas.openxmlformats.org/drawingml/2006/main">
                  <a:graphicData uri="http://schemas.microsoft.com/office/word/2010/wordprocessingGroup">
                    <wpg:wgp>
                      <wpg:cNvGrpSpPr/>
                      <wpg:grpSpPr>
                        <a:xfrm>
                          <a:off x="0" y="0"/>
                          <a:ext cx="5184775" cy="1966595"/>
                          <a:chOff x="216129" y="-49545"/>
                          <a:chExt cx="2774721" cy="1967033"/>
                        </a:xfrm>
                      </wpg:grpSpPr>
                      <wpg:grpSp>
                        <wpg:cNvPr id="23" name="Skupina 23"/>
                        <wpg:cNvGrpSpPr/>
                        <wpg:grpSpPr>
                          <a:xfrm>
                            <a:off x="216129" y="-49545"/>
                            <a:ext cx="2323871" cy="1700333"/>
                            <a:chOff x="216129" y="-49545"/>
                            <a:chExt cx="2323871" cy="1700333"/>
                          </a:xfrm>
                        </wpg:grpSpPr>
                        <wps:wsp>
                          <wps:cNvPr id="217" name="Textové pole 2"/>
                          <wps:cNvSpPr txBox="1">
                            <a:spLocks noChangeArrowheads="1"/>
                          </wps:cNvSpPr>
                          <wps:spPr bwMode="auto">
                            <a:xfrm>
                              <a:off x="216129" y="-49545"/>
                              <a:ext cx="533400" cy="260985"/>
                            </a:xfrm>
                            <a:prstGeom prst="rect">
                              <a:avLst/>
                            </a:prstGeom>
                            <a:solidFill>
                              <a:srgbClr val="FFFFFF"/>
                            </a:solidFill>
                            <a:ln w="9525">
                              <a:solidFill>
                                <a:schemeClr val="bg1"/>
                              </a:solidFill>
                              <a:miter lim="800000"/>
                              <a:headEnd/>
                              <a:tailEnd/>
                            </a:ln>
                          </wps:spPr>
                          <wps:txbx>
                            <w:txbxContent>
                              <w:p w:rsidR="00663322" w:rsidRPr="008926F2" w:rsidRDefault="00663322" w:rsidP="00663322">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p>
                            </w:txbxContent>
                          </wps:txbx>
                          <wps:bodyPr rot="0" vert="horz" wrap="square" lIns="0" tIns="0" rIns="0" bIns="0" anchor="t" anchorCtr="0">
                            <a:noAutofit/>
                          </wps:bodyPr>
                        </wps:wsp>
                        <wpg:grpSp>
                          <wpg:cNvPr id="22" name="Skupina 22"/>
                          <wpg:cNvGrpSpPr/>
                          <wpg:grpSpPr>
                            <a:xfrm>
                              <a:off x="558800" y="0"/>
                              <a:ext cx="1981200" cy="1650788"/>
                              <a:chOff x="0" y="0"/>
                              <a:chExt cx="1981200" cy="1650788"/>
                            </a:xfrm>
                          </wpg:grpSpPr>
                          <wps:wsp>
                            <wps:cNvPr id="5" name="Přímá spojnice 5"/>
                            <wps:cNvCnPr/>
                            <wps:spPr>
                              <a:xfrm>
                                <a:off x="0" y="0"/>
                                <a:ext cx="0" cy="1650788"/>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7" name="Přímá spojnice 7"/>
                            <wps:cNvCnPr/>
                            <wps:spPr>
                              <a:xfrm flipV="1">
                                <a:off x="0" y="1631950"/>
                                <a:ext cx="1981200" cy="6985"/>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2" name="Volný tvar 12"/>
                            <wps:cNvSpPr/>
                            <wps:spPr>
                              <a:xfrm>
                                <a:off x="0" y="279400"/>
                                <a:ext cx="1784350" cy="1362075"/>
                              </a:xfrm>
                              <a:custGeom>
                                <a:avLst/>
                                <a:gdLst>
                                  <a:gd name="connsiteX0" fmla="*/ 0 w 1701800"/>
                                  <a:gd name="connsiteY0" fmla="*/ 1303867 h 1303867"/>
                                  <a:gd name="connsiteX1" fmla="*/ 508000 w 1701800"/>
                                  <a:gd name="connsiteY1" fmla="*/ 406400 h 1303867"/>
                                  <a:gd name="connsiteX2" fmla="*/ 1701800 w 1701800"/>
                                  <a:gd name="connsiteY2" fmla="*/ 0 h 1303867"/>
                                </a:gdLst>
                                <a:ahLst/>
                                <a:cxnLst>
                                  <a:cxn ang="0">
                                    <a:pos x="connsiteX0" y="connsiteY0"/>
                                  </a:cxn>
                                  <a:cxn ang="0">
                                    <a:pos x="connsiteX1" y="connsiteY1"/>
                                  </a:cxn>
                                  <a:cxn ang="0">
                                    <a:pos x="connsiteX2" y="connsiteY2"/>
                                  </a:cxn>
                                </a:cxnLst>
                                <a:rect l="l" t="t" r="r" b="b"/>
                                <a:pathLst>
                                  <a:path w="1701800" h="1303867">
                                    <a:moveTo>
                                      <a:pt x="0" y="1303867"/>
                                    </a:moveTo>
                                    <a:cubicBezTo>
                                      <a:pt x="112183" y="963789"/>
                                      <a:pt x="224367" y="623711"/>
                                      <a:pt x="508000" y="406400"/>
                                    </a:cubicBezTo>
                                    <a:cubicBezTo>
                                      <a:pt x="791633" y="189089"/>
                                      <a:pt x="1246716" y="94544"/>
                                      <a:pt x="1701800" y="0"/>
                                    </a:cubicBezTo>
                                  </a:path>
                                </a:pathLst>
                              </a:custGeom>
                              <a:noFill/>
                              <a:ln>
                                <a:round/>
                                <a:headEnd w="med" len="sm"/>
                                <a:tailEnd w="med"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Volný tvar 13"/>
                            <wps:cNvSpPr/>
                            <wps:spPr>
                              <a:xfrm>
                                <a:off x="0" y="819150"/>
                                <a:ext cx="1898650" cy="819150"/>
                              </a:xfrm>
                              <a:custGeom>
                                <a:avLst/>
                                <a:gdLst>
                                  <a:gd name="connsiteX0" fmla="*/ 0 w 1701800"/>
                                  <a:gd name="connsiteY0" fmla="*/ 1303867 h 1303867"/>
                                  <a:gd name="connsiteX1" fmla="*/ 508000 w 1701800"/>
                                  <a:gd name="connsiteY1" fmla="*/ 406400 h 1303867"/>
                                  <a:gd name="connsiteX2" fmla="*/ 1701800 w 1701800"/>
                                  <a:gd name="connsiteY2" fmla="*/ 0 h 1303867"/>
                                </a:gdLst>
                                <a:ahLst/>
                                <a:cxnLst>
                                  <a:cxn ang="0">
                                    <a:pos x="connsiteX0" y="connsiteY0"/>
                                  </a:cxn>
                                  <a:cxn ang="0">
                                    <a:pos x="connsiteX1" y="connsiteY1"/>
                                  </a:cxn>
                                  <a:cxn ang="0">
                                    <a:pos x="connsiteX2" y="connsiteY2"/>
                                  </a:cxn>
                                </a:cxnLst>
                                <a:rect l="l" t="t" r="r" b="b"/>
                                <a:pathLst>
                                  <a:path w="1701800" h="1303867">
                                    <a:moveTo>
                                      <a:pt x="0" y="1303867"/>
                                    </a:moveTo>
                                    <a:cubicBezTo>
                                      <a:pt x="112183" y="963789"/>
                                      <a:pt x="224367" y="623711"/>
                                      <a:pt x="508000" y="406400"/>
                                    </a:cubicBezTo>
                                    <a:cubicBezTo>
                                      <a:pt x="791633" y="189089"/>
                                      <a:pt x="1246716" y="94544"/>
                                      <a:pt x="170180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Přímá spojnice se šipkou 18"/>
                            <wps:cNvCnPr/>
                            <wps:spPr>
                              <a:xfrm>
                                <a:off x="1390650" y="400050"/>
                                <a:ext cx="0" cy="450850"/>
                              </a:xfrm>
                              <a:prstGeom prst="straightConnector1">
                                <a:avLst/>
                              </a:prstGeom>
                              <a:ln w="9525">
                                <a:solidFill>
                                  <a:srgbClr val="C00000"/>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g:grpSp>
                      </wpg:grpSp>
                      <wps:wsp>
                        <wps:cNvPr id="19" name="Textové pole 2"/>
                        <wps:cNvSpPr txBox="1">
                          <a:spLocks noChangeArrowheads="1"/>
                        </wps:cNvSpPr>
                        <wps:spPr bwMode="auto">
                          <a:xfrm>
                            <a:off x="2315122" y="1656503"/>
                            <a:ext cx="533400" cy="260985"/>
                          </a:xfrm>
                          <a:prstGeom prst="rect">
                            <a:avLst/>
                          </a:prstGeom>
                          <a:solidFill>
                            <a:srgbClr val="FFFFFF"/>
                          </a:solidFill>
                          <a:ln w="9525">
                            <a:solidFill>
                              <a:schemeClr val="bg1"/>
                            </a:solidFill>
                            <a:miter lim="800000"/>
                            <a:headEnd/>
                            <a:tailEnd/>
                          </a:ln>
                        </wps:spPr>
                        <wps:txbx>
                          <w:txbxContent>
                            <w:p w:rsidR="00663322" w:rsidRPr="008926F2" w:rsidRDefault="00663322" w:rsidP="00663322">
                              <w:pPr>
                                <w:rPr>
                                  <w:sz w:val="18"/>
                                  <w14:textOutline w14:w="9525" w14:cap="rnd" w14:cmpd="sng" w14:algn="ctr">
                                    <w14:noFill/>
                                    <w14:prstDash w14:val="solid"/>
                                    <w14:bevel/>
                                  </w14:textOutline>
                                </w:rPr>
                              </w:pPr>
                              <w:r>
                                <w:rPr>
                                  <w:sz w:val="18"/>
                                  <w14:textOutline w14:w="9525" w14:cap="rnd" w14:cmpd="sng" w14:algn="ctr">
                                    <w14:noFill/>
                                    <w14:prstDash w14:val="solid"/>
                                    <w14:bevel/>
                                  </w14:textOutline>
                                </w:rPr>
                                <w:t>Vstup (X</w:t>
                              </w:r>
                              <w:r w:rsidRPr="008926F2">
                                <w:rPr>
                                  <w:sz w:val="18"/>
                                  <w14:textOutline w14:w="9525" w14:cap="rnd" w14:cmpd="sng" w14:algn="ctr">
                                    <w14:noFill/>
                                    <w14:prstDash w14:val="solid"/>
                                    <w14:bevel/>
                                  </w14:textOutline>
                                </w:rPr>
                                <w:t>)</w:t>
                              </w:r>
                            </w:p>
                          </w:txbxContent>
                        </wps:txbx>
                        <wps:bodyPr rot="0" vert="horz" wrap="square" lIns="0" tIns="0" rIns="0" bIns="0" anchor="t" anchorCtr="0">
                          <a:noAutofit/>
                        </wps:bodyPr>
                      </wps:wsp>
                      <wps:wsp>
                        <wps:cNvPr id="20" name="Textové pole 2"/>
                        <wps:cNvSpPr txBox="1">
                          <a:spLocks noChangeArrowheads="1"/>
                        </wps:cNvSpPr>
                        <wps:spPr bwMode="auto">
                          <a:xfrm>
                            <a:off x="2088692" y="476729"/>
                            <a:ext cx="533400" cy="260985"/>
                          </a:xfrm>
                          <a:prstGeom prst="rect">
                            <a:avLst/>
                          </a:prstGeom>
                          <a:solidFill>
                            <a:srgbClr val="FFFFFF"/>
                          </a:solidFill>
                          <a:ln w="9525">
                            <a:solidFill>
                              <a:schemeClr val="bg1"/>
                            </a:solidFill>
                            <a:miter lim="800000"/>
                            <a:headEnd/>
                            <a:tailEnd/>
                          </a:ln>
                        </wps:spPr>
                        <wps:txbx>
                          <w:txbxContent>
                            <w:p w:rsidR="00663322" w:rsidRPr="008926F2" w:rsidRDefault="00663322" w:rsidP="00663322">
                              <w:pPr>
                                <w:rPr>
                                  <w:sz w:val="18"/>
                                  <w14:textOutline w14:w="9525" w14:cap="rnd" w14:cmpd="sng" w14:algn="ctr">
                                    <w14:noFill/>
                                    <w14:prstDash w14:val="solid"/>
                                    <w14:bevel/>
                                  </w14:textOutline>
                                </w:rPr>
                              </w:pPr>
                              <w:r>
                                <w:rPr>
                                  <w:sz w:val="18"/>
                                  <w14:textOutline w14:w="9525" w14:cap="rnd" w14:cmpd="sng" w14:algn="ctr">
                                    <w14:noFill/>
                                    <w14:prstDash w14:val="solid"/>
                                    <w14:bevel/>
                                  </w14:textOutline>
                                </w:rPr>
                                <w:t>Mezera produktivity</w:t>
                              </w:r>
                            </w:p>
                          </w:txbxContent>
                        </wps:txbx>
                        <wps:bodyPr rot="0" vert="horz" wrap="square" lIns="0" tIns="0" rIns="0" bIns="0" anchor="t" anchorCtr="0">
                          <a:noAutofit/>
                        </wps:bodyPr>
                      </wps:wsp>
                      <wps:wsp>
                        <wps:cNvPr id="21" name="Textové pole 2"/>
                        <wps:cNvSpPr txBox="1">
                          <a:spLocks noChangeArrowheads="1"/>
                        </wps:cNvSpPr>
                        <wps:spPr bwMode="auto">
                          <a:xfrm>
                            <a:off x="2457450" y="133350"/>
                            <a:ext cx="533400" cy="260985"/>
                          </a:xfrm>
                          <a:prstGeom prst="rect">
                            <a:avLst/>
                          </a:prstGeom>
                          <a:solidFill>
                            <a:srgbClr val="FFFFFF"/>
                          </a:solidFill>
                          <a:ln w="9525">
                            <a:solidFill>
                              <a:schemeClr val="bg1"/>
                            </a:solidFill>
                            <a:miter lim="800000"/>
                            <a:headEnd/>
                            <a:tailEnd/>
                          </a:ln>
                        </wps:spPr>
                        <wps:txbx>
                          <w:txbxContent>
                            <w:p w:rsidR="00663322" w:rsidRPr="008926F2" w:rsidRDefault="00663322" w:rsidP="00663322">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r w:rsidRPr="00663322">
                                <w:rPr>
                                  <w:sz w:val="18"/>
                                  <w:vertAlign w:val="subscript"/>
                                  <w14:textOutline w14:w="9525" w14:cap="rnd" w14:cmpd="sng" w14:algn="ctr">
                                    <w14:noFill/>
                                    <w14:prstDash w14:val="solid"/>
                                    <w14:bevel/>
                                  </w14:textOutline>
                                </w:rPr>
                                <w:t>A</w:t>
                              </w:r>
                              <w:r w:rsidRPr="008926F2">
                                <w:rPr>
                                  <w:sz w:val="18"/>
                                  <w14:textOutline w14:w="9525" w14:cap="rnd" w14:cmpd="sng" w14:algn="ctr">
                                    <w14:noFill/>
                                    <w14:prstDash w14:val="solid"/>
                                    <w14:bevel/>
                                  </w14:textOutline>
                                </w:rPr>
                                <w:t>)</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79EFD8" id="Skupina 24" o:spid="_x0000_s1056" style="position:absolute;left:0;text-align:left;margin-left:33.55pt;margin-top:88.45pt;width:408.25pt;height:154.85pt;z-index:-251631616;mso-width-relative:margin;mso-height-relative:margin" coordorigin="2161,-495" coordsize="27747,19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">
                <v:group id="Skupina 23" o:spid="_x0000_s1057" style="position:absolute;left:2161;top:-495;width:23239;height:17002" coordorigin="2161,-495" coordsize="23238,1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ové pole 2" o:spid="_x0000_s1058" type="#_x0000_t202" style="position:absolute;left:2161;top:-495;width:533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" strokecolor="white [3212]">
                    <v:textbox inset="0,0,0,0">
                      <w:txbxContent>
                        <w:p w:rsidR="00663322" w:rsidRPr="008926F2" w:rsidRDefault="00663322" w:rsidP="00663322">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p>
                      </w:txbxContent>
                    </v:textbox>
                  </v:shape>
                  <v:group id="Skupina 22" o:spid="_x0000_s1059" style="position:absolute;left:5588;width:19812;height:16507" coordsize="19812,1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Přímá spojnice 5" o:spid="_x0000_s1060" style="position:absolute;visibility:visible;mso-wrap-style:square" from="0,0" to="0,16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" strokecolor="#5b9bd5 [3204]" strokeweight="1pt">
                      <v:stroke joinstyle="miter"/>
                    </v:line>
                    <v:line id="Přímá spojnice 7" o:spid="_x0000_s1061" style="position:absolute;flip:y;visibility:visible;mso-wrap-style:square" from="0,16319" to="19812,1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" strokecolor="#5b9bd5 [3204]" strokeweight="1pt">
                      <v:stroke joinstyle="miter"/>
                    </v:line>
                    <v:shape id="Volný tvar 12" o:spid="_x0000_s1062" style="position:absolute;top:2794;width:17843;height:13620;visibility:visible;mso-wrap-style:square;v-text-anchor:middle" coordsize="1701800,1303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" path="m,1303867c112183,963789,224367,623711,508000,406400,791633,189089,1246716,94544,1701800,e" filled="f" strokecolor="#1f4d78 [1604]" strokeweight="1pt">
                      <v:stroke startarrowlength="short" endarrowlength="short"/>
                      <v:path arrowok="t" o:connecttype="custom" o:connectlocs="0,1362075;532642,424543;1784350,0" o:connectangles="0,0,0"/>
                    </v:shape>
                    <v:shape id="Volný tvar 13" o:spid="_x0000_s1063" style="position:absolute;top:8191;width:18986;height:8192;visibility:visible;mso-wrap-style:square;v-text-anchor:middle" coordsize="1701800,1303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" path="m,1303867c112183,963789,224367,623711,508000,406400,791633,189089,1246716,94544,1701800,e" filled="f" strokecolor="#1f4d78 [1604]" strokeweight="1pt">
                      <v:stroke joinstyle="miter"/>
                      <v:path arrowok="t" o:connecttype="custom" o:connectlocs="0,819150;566761,255319;1898650,0" o:connectangles="0,0,0"/>
                    </v:shape>
                    <v:shape id="Přímá spojnice se šipkou 18" o:spid="_x0000_s1064" type="#_x0000_t32" style="position:absolute;left:13906;top:4000;width:0;height:45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" strokecolor="#c00000">
                      <v:stroke startarrow="oval" startarrowwidth="narrow" startarrowlength="short" endarrow="oval" endarrowwidth="narrow" endarrowlength="short" joinstyle="miter"/>
                    </v:shape>
                  </v:group>
                </v:group>
                <v:shape id="Textové pole 2" o:spid="_x0000_s1065" type="#_x0000_t202" style="position:absolute;left:23151;top:16565;width:533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" strokecolor="white [3212]">
                  <v:textbox inset="0,0,0,0">
                    <w:txbxContent>
                      <w:p w:rsidR="00663322" w:rsidRPr="008926F2" w:rsidRDefault="00663322" w:rsidP="00663322">
                        <w:pPr>
                          <w:rPr>
                            <w:sz w:val="18"/>
                            <w14:textOutline w14:w="9525" w14:cap="rnd" w14:cmpd="sng" w14:algn="ctr">
                              <w14:noFill/>
                              <w14:prstDash w14:val="solid"/>
                              <w14:bevel/>
                            </w14:textOutline>
                          </w:rPr>
                        </w:pPr>
                        <w:r>
                          <w:rPr>
                            <w:sz w:val="18"/>
                            <w14:textOutline w14:w="9525" w14:cap="rnd" w14:cmpd="sng" w14:algn="ctr">
                              <w14:noFill/>
                              <w14:prstDash w14:val="solid"/>
                              <w14:bevel/>
                            </w14:textOutline>
                          </w:rPr>
                          <w:t>Vstup (X</w:t>
                        </w:r>
                        <w:r w:rsidRPr="008926F2">
                          <w:rPr>
                            <w:sz w:val="18"/>
                            <w14:textOutline w14:w="9525" w14:cap="rnd" w14:cmpd="sng" w14:algn="ctr">
                              <w14:noFill/>
                              <w14:prstDash w14:val="solid"/>
                              <w14:bevel/>
                            </w14:textOutline>
                          </w:rPr>
                          <w:t>)</w:t>
                        </w:r>
                      </w:p>
                    </w:txbxContent>
                  </v:textbox>
                </v:shape>
                <v:shape id="Textové pole 2" o:spid="_x0000_s1066" type="#_x0000_t202" style="position:absolute;left:20886;top:4767;width:533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" strokecolor="white [3212]">
                  <v:textbox inset="0,0,0,0">
                    <w:txbxContent>
                      <w:p w:rsidR="00663322" w:rsidRPr="008926F2" w:rsidRDefault="00663322" w:rsidP="00663322">
                        <w:pPr>
                          <w:rPr>
                            <w:sz w:val="18"/>
                            <w14:textOutline w14:w="9525" w14:cap="rnd" w14:cmpd="sng" w14:algn="ctr">
                              <w14:noFill/>
                              <w14:prstDash w14:val="solid"/>
                              <w14:bevel/>
                            </w14:textOutline>
                          </w:rPr>
                        </w:pPr>
                        <w:r>
                          <w:rPr>
                            <w:sz w:val="18"/>
                            <w14:textOutline w14:w="9525" w14:cap="rnd" w14:cmpd="sng" w14:algn="ctr">
                              <w14:noFill/>
                              <w14:prstDash w14:val="solid"/>
                              <w14:bevel/>
                            </w14:textOutline>
                          </w:rPr>
                          <w:t>Mezera produktivity</w:t>
                        </w:r>
                      </w:p>
                    </w:txbxContent>
                  </v:textbox>
                </v:shape>
                <v:shape id="Textové pole 2" o:spid="_x0000_s1067" type="#_x0000_t202" style="position:absolute;left:24574;top:1333;width:533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" strokecolor="white [3212]">
                  <v:textbox inset="0,0,0,0">
                    <w:txbxContent>
                      <w:p w:rsidR="00663322" w:rsidRPr="008926F2" w:rsidRDefault="00663322" w:rsidP="00663322">
                        <w:pPr>
                          <w:rPr>
                            <w:sz w:val="18"/>
                            <w14:textOutline w14:w="9525" w14:cap="rnd" w14:cmpd="sng" w14:algn="ctr">
                              <w14:noFill/>
                              <w14:prstDash w14:val="solid"/>
                              <w14:bevel/>
                            </w14:textOutline>
                          </w:rPr>
                        </w:pPr>
                        <w:r w:rsidRPr="008926F2">
                          <w:rPr>
                            <w:sz w:val="18"/>
                            <w14:textOutline w14:w="9525" w14:cap="rnd" w14:cmpd="sng" w14:algn="ctr">
                              <w14:noFill/>
                              <w14:prstDash w14:val="solid"/>
                              <w14:bevel/>
                            </w14:textOutline>
                          </w:rPr>
                          <w:t>Produkt (Y</w:t>
                        </w:r>
                        <w:r w:rsidRPr="00663322">
                          <w:rPr>
                            <w:sz w:val="18"/>
                            <w:vertAlign w:val="subscript"/>
                            <w14:textOutline w14:w="9525" w14:cap="rnd" w14:cmpd="sng" w14:algn="ctr">
                              <w14:noFill/>
                              <w14:prstDash w14:val="solid"/>
                              <w14:bevel/>
                            </w14:textOutline>
                          </w:rPr>
                          <w:t>A</w:t>
                        </w:r>
                        <w:r w:rsidRPr="008926F2">
                          <w:rPr>
                            <w:sz w:val="18"/>
                            <w14:textOutline w14:w="9525" w14:cap="rnd" w14:cmpd="sng" w14:algn="ctr">
                              <w14:noFill/>
                              <w14:prstDash w14:val="solid"/>
                              <w14:bevel/>
                            </w14:textOutline>
                          </w:rPr>
                          <w:t>)</w:t>
                        </w:r>
                      </w:p>
                    </w:txbxContent>
                  </v:textbox>
                </v:shape>
                <w10:wrap type="tight"/>
              </v:group>
            </w:pict>
          </mc:Fallback>
        </mc:AlternateContent>
      </w:r>
      <w:r w:rsidRPr="00E54D02">
        <w:rPr>
          <w:color w:val="333333"/>
          <w:lang w:val="en-GB" w:eastAsia="en-GB"/>
        </w:rPr>
        <w:t>Prvním pojmem se kterým se setkáme než se budem prodrobněji zabývaj obalstí dohánění prouduktivity je mezera productivity. Mezera produktivity je r</w:t>
      </w:r>
      <w:r w:rsidRPr="00E54D02">
        <w:rPr>
          <w:color w:val="0D0D0D"/>
        </w:rPr>
        <w:t>ozdíl v produktivitě neboli ukazatel produkčních schopností států. Lze ji  zjistit jako rozdíl mezi mezi produktivitou srovnávací země (A) a méně rozvinuté ekonomiky (B). Situaci graficky znázornu uvedený obrázek</w:t>
      </w:r>
    </w:p>
    <w:p w:rsidR="00663322" w:rsidRPr="00E54D02" w:rsidRDefault="00663322" w:rsidP="00E54D02">
      <w:pPr>
        <w:shd w:val="clear" w:color="auto" w:fill="FFFFFF"/>
        <w:spacing w:after="360" w:line="360" w:lineRule="auto"/>
        <w:jc w:val="both"/>
        <w:rPr>
          <w:color w:val="0D0D0D"/>
        </w:rPr>
      </w:pPr>
    </w:p>
    <w:p w:rsidR="00663322" w:rsidRPr="00E54D02" w:rsidRDefault="00663322" w:rsidP="00E54D02">
      <w:pPr>
        <w:shd w:val="clear" w:color="auto" w:fill="FFFFFF"/>
        <w:spacing w:after="360" w:line="360" w:lineRule="auto"/>
        <w:jc w:val="both"/>
        <w:rPr>
          <w:color w:val="0D0D0D"/>
        </w:rPr>
      </w:pPr>
    </w:p>
    <w:p w:rsidR="00663322" w:rsidRPr="00E54D02" w:rsidRDefault="00663322" w:rsidP="00E54D02">
      <w:pPr>
        <w:shd w:val="clear" w:color="auto" w:fill="FFFFFF"/>
        <w:spacing w:after="360" w:line="360" w:lineRule="auto"/>
        <w:jc w:val="both"/>
        <w:rPr>
          <w:color w:val="0D0D0D"/>
        </w:rPr>
      </w:pPr>
    </w:p>
    <w:p w:rsidR="00663322" w:rsidRDefault="00663322" w:rsidP="00E54D02">
      <w:pPr>
        <w:shd w:val="clear" w:color="auto" w:fill="FFFFFF"/>
        <w:spacing w:after="360" w:line="360" w:lineRule="auto"/>
        <w:jc w:val="both"/>
        <w:rPr>
          <w:color w:val="0D0D0D"/>
        </w:rPr>
      </w:pPr>
    </w:p>
    <w:p w:rsidR="00835886" w:rsidRDefault="00835886" w:rsidP="00E54D02">
      <w:pPr>
        <w:shd w:val="clear" w:color="auto" w:fill="FFFFFF"/>
        <w:spacing w:after="360" w:line="360" w:lineRule="auto"/>
        <w:jc w:val="both"/>
        <w:rPr>
          <w:color w:val="0D0D0D"/>
        </w:rPr>
      </w:pPr>
    </w:p>
    <w:p w:rsidR="00835886" w:rsidRDefault="00835886" w:rsidP="00EA1FDA">
      <w:pPr>
        <w:shd w:val="clear" w:color="auto" w:fill="FFFFFF"/>
        <w:spacing w:after="360" w:line="360" w:lineRule="auto"/>
        <w:jc w:val="both"/>
      </w:pPr>
      <w:r>
        <w:t>Jaký je rozdíl mezi mezerou prouduktivity a nákladovou mezerou? Základem odlišení těchto dvou ukaztelů je jejich definování. M</w:t>
      </w:r>
      <w:r w:rsidRPr="00E60090">
        <w:t>ezera v produktivitě  je relativní rozdíl  mezi zeměmi  mezi výstupem státu</w:t>
      </w:r>
      <w:r>
        <w:t xml:space="preserve"> (podniku)</w:t>
      </w:r>
      <w:r w:rsidRPr="00E60090">
        <w:t xml:space="preserve"> na jed</w:t>
      </w:r>
      <w:r>
        <w:t>notku vstupu v konstantním čase</w:t>
      </w:r>
      <w:r w:rsidRPr="00E60090">
        <w:t>.</w:t>
      </w:r>
      <w:r>
        <w:t xml:space="preserve"> </w:t>
      </w:r>
      <w:r>
        <w:t>Rozdíl v efektivitě nákladů (nákladové mezera) je relativní rozdíl</w:t>
      </w:r>
      <w:r>
        <w:t xml:space="preserve"> </w:t>
      </w:r>
      <w:r>
        <w:t>mezi celkovými náklady v jednotlivých zemích, při daných cenách výrobních faktorů, výstupu a konstatním času</w:t>
      </w:r>
      <w:r>
        <w:t xml:space="preserve"> (</w:t>
      </w:r>
      <w:r w:rsidRPr="00EA1FDA">
        <w:t xml:space="preserve">Conrad, </w:t>
      </w:r>
      <w:r w:rsidRPr="00EA1FDA">
        <w:t>Unger</w:t>
      </w:r>
      <w:r w:rsidRPr="00EA1FDA">
        <w:t xml:space="preserve"> 1989)</w:t>
      </w:r>
      <w:r>
        <w:t>.</w:t>
      </w:r>
    </w:p>
    <w:p w:rsidR="00454A81" w:rsidRPr="00E54D02" w:rsidRDefault="00663322" w:rsidP="00E54D02">
      <w:pPr>
        <w:shd w:val="clear" w:color="auto" w:fill="FFFFFF"/>
        <w:spacing w:after="360" w:line="360" w:lineRule="auto"/>
        <w:jc w:val="both"/>
      </w:pPr>
      <w:r w:rsidRPr="00E54D02">
        <w:t>P</w:t>
      </w:r>
      <w:r w:rsidR="0066214A" w:rsidRPr="00E54D02">
        <w:t>okud se mluví o tzn. procesu dohánění (</w:t>
      </w:r>
      <w:proofErr w:type="gramStart"/>
      <w:r w:rsidR="0066214A" w:rsidRPr="00E54D02">
        <w:t>catching-up) , tento</w:t>
      </w:r>
      <w:proofErr w:type="gramEnd"/>
      <w:r w:rsidR="0066214A" w:rsidRPr="00E54D02">
        <w:t xml:space="preserve"> proces spočívá v procesu dohánění vyspělých zemí méně vyspělými, kdy můžem mluvit o reálné konvergeci, která je doprovázená </w:t>
      </w:r>
      <w:r w:rsidR="0066214A" w:rsidRPr="00E54D02">
        <w:lastRenderedPageBreak/>
        <w:t>nominální konvergencí (změnami relativních cen</w:t>
      </w:r>
      <w:r w:rsidR="004F15C5" w:rsidRPr="00E54D02">
        <w:t xml:space="preserve"> a konvergencí cenových úrovní). . Reálná konvergence je chápána jako přibližování ekonomické úrovně k úrovni jiné vyspělé země nebo skupiny zemí (Žďárek, 2006).</w:t>
      </w:r>
      <w:r w:rsidR="00F3549C" w:rsidRPr="00E54D02">
        <w:t xml:space="preserve"> </w:t>
      </w:r>
      <w:r w:rsidR="00454A81" w:rsidRPr="00E54D02">
        <w:t>Změny národní produktivity mají dva původy. Zaprvé je to efekt technologického dohánění výrobní technologie.  Za druhé je to efekt zahraničního obchodu, kdy v  posledních desetiletích byla hnací silou růstu produktivity konkurence v oblasti dovozu</w:t>
      </w:r>
      <w:r w:rsidR="0054215D" w:rsidRPr="00E54D02">
        <w:t xml:space="preserve"> ((Boussemart et al., 2020)</w:t>
      </w:r>
      <w:r w:rsidR="00454A81" w:rsidRPr="00E54D02">
        <w:t>.</w:t>
      </w:r>
    </w:p>
    <w:p w:rsidR="004F15C5" w:rsidRPr="00E54D02" w:rsidRDefault="00454A81" w:rsidP="00E54D02">
      <w:pPr>
        <w:shd w:val="clear" w:color="auto" w:fill="FFFFFF"/>
        <w:spacing w:after="360" w:line="360" w:lineRule="auto"/>
        <w:jc w:val="both"/>
      </w:pPr>
      <w:r w:rsidRPr="00E54D02">
        <w:t>Proces technologického dohánění probíhá tak, že méně efektivní odvětví mají tendenci v průběhu času dohánět ta efektivnější. V tomto případě neefektivní odvětví předstihují efektivní odvětví, která si udržela vedoucí postavení. Méně efektivní odvětví mohou postupně přebírat technologické inovace, manažerské postupy nebo organizační schopnosti od těch nejproduktivnějších. (Boussemart et al., 2017)</w:t>
      </w:r>
      <w:r w:rsidR="00F3549C" w:rsidRPr="00E54D02">
        <w:t xml:space="preserve">.  </w:t>
      </w:r>
      <w:r w:rsidR="00995853" w:rsidRPr="00E54D02">
        <w:t>Teorém lokomotivy je rovněž implicitně zakomponován v neoklasické teorii ekonomického růstu  skrze předpoklad exogenního technologického pokroku. S konceptem teorému lokomotivy souvisejí koncepty ekonomické konvergence a dohánění (catching-up) (Komarek et al., 2012)</w:t>
      </w:r>
    </w:p>
    <w:p w:rsidR="001719FD" w:rsidRPr="00E54D02" w:rsidRDefault="001719FD" w:rsidP="00E54D02">
      <w:pPr>
        <w:shd w:val="clear" w:color="auto" w:fill="FFFFFF"/>
        <w:spacing w:after="360" w:line="360" w:lineRule="auto"/>
        <w:rPr>
          <w:color w:val="333333"/>
          <w:lang w:val="en-GB" w:eastAsia="en-GB"/>
        </w:rPr>
      </w:pPr>
      <w:r w:rsidRPr="00E54D02">
        <w:rPr>
          <w:color w:val="333333"/>
          <w:lang w:val="en-GB" w:eastAsia="en-GB"/>
        </w:rPr>
        <w:t xml:space="preserve">Efekt dohánění productivity (catch-up) je možné měřit </w:t>
      </w:r>
      <w:proofErr w:type="gramStart"/>
      <w:r w:rsidRPr="00E54D02">
        <w:rPr>
          <w:color w:val="333333"/>
          <w:lang w:val="en-GB" w:eastAsia="en-GB"/>
        </w:rPr>
        <w:t>na :</w:t>
      </w:r>
      <w:proofErr w:type="gramEnd"/>
    </w:p>
    <w:p w:rsidR="001719FD" w:rsidRPr="00E54D02" w:rsidRDefault="001719FD" w:rsidP="00E54D02">
      <w:pPr>
        <w:pStyle w:val="Odstavecseseznamem"/>
        <w:numPr>
          <w:ilvl w:val="0"/>
          <w:numId w:val="7"/>
        </w:numPr>
        <w:shd w:val="clear" w:color="auto" w:fill="FFFFFF"/>
        <w:spacing w:after="360" w:line="360" w:lineRule="auto"/>
        <w:rPr>
          <w:rFonts w:ascii="Times New Roman" w:hAnsi="Times New Roman" w:cs="Times New Roman"/>
          <w:color w:val="333333"/>
          <w:sz w:val="24"/>
          <w:szCs w:val="24"/>
          <w:lang w:val="en-GB" w:eastAsia="en-GB"/>
        </w:rPr>
      </w:pPr>
      <w:r w:rsidRPr="00E54D02">
        <w:rPr>
          <w:rFonts w:ascii="Times New Roman" w:hAnsi="Times New Roman" w:cs="Times New Roman"/>
          <w:color w:val="333333"/>
          <w:sz w:val="24"/>
          <w:szCs w:val="24"/>
          <w:lang w:val="en-GB" w:eastAsia="en-GB"/>
        </w:rPr>
        <w:t>P</w:t>
      </w:r>
      <w:r w:rsidR="007A7E8B" w:rsidRPr="00E54D02">
        <w:rPr>
          <w:rFonts w:ascii="Times New Roman" w:hAnsi="Times New Roman" w:cs="Times New Roman"/>
          <w:color w:val="333333"/>
          <w:sz w:val="24"/>
          <w:szCs w:val="24"/>
          <w:lang w:val="en-GB" w:eastAsia="en-GB"/>
        </w:rPr>
        <w:t>odn</w:t>
      </w:r>
      <w:r w:rsidRPr="00E54D02">
        <w:rPr>
          <w:rFonts w:ascii="Times New Roman" w:hAnsi="Times New Roman" w:cs="Times New Roman"/>
          <w:color w:val="333333"/>
          <w:sz w:val="24"/>
          <w:szCs w:val="24"/>
          <w:lang w:val="en-GB" w:eastAsia="en-GB"/>
        </w:rPr>
        <w:t>ikové úrovni</w:t>
      </w:r>
      <w:r w:rsidR="00523F46" w:rsidRPr="00E54D02">
        <w:rPr>
          <w:rFonts w:ascii="Times New Roman" w:hAnsi="Times New Roman" w:cs="Times New Roman"/>
          <w:color w:val="333333"/>
          <w:sz w:val="24"/>
          <w:szCs w:val="24"/>
          <w:lang w:val="en-GB" w:eastAsia="en-GB"/>
        </w:rPr>
        <w:t xml:space="preserve">    (jak dohání v produktivitě jeden podnik druhý)</w:t>
      </w:r>
    </w:p>
    <w:p w:rsidR="001719FD" w:rsidRPr="00E54D02" w:rsidRDefault="001719FD" w:rsidP="00E54D02">
      <w:pPr>
        <w:pStyle w:val="Odstavecseseznamem"/>
        <w:numPr>
          <w:ilvl w:val="0"/>
          <w:numId w:val="7"/>
        </w:numPr>
        <w:shd w:val="clear" w:color="auto" w:fill="FFFFFF"/>
        <w:spacing w:after="360" w:line="360" w:lineRule="auto"/>
        <w:rPr>
          <w:rFonts w:ascii="Times New Roman" w:hAnsi="Times New Roman" w:cs="Times New Roman"/>
          <w:color w:val="333333"/>
          <w:sz w:val="24"/>
          <w:szCs w:val="24"/>
          <w:lang w:val="en-GB" w:eastAsia="en-GB"/>
        </w:rPr>
      </w:pPr>
      <w:r w:rsidRPr="00E54D02">
        <w:rPr>
          <w:rFonts w:ascii="Times New Roman" w:hAnsi="Times New Roman" w:cs="Times New Roman"/>
          <w:color w:val="333333"/>
          <w:sz w:val="24"/>
          <w:szCs w:val="24"/>
          <w:lang w:val="en-GB" w:eastAsia="en-GB"/>
        </w:rPr>
        <w:t>Odvětvové úrovni</w:t>
      </w:r>
      <w:r w:rsidR="00523F46" w:rsidRPr="00E54D02">
        <w:rPr>
          <w:rFonts w:ascii="Times New Roman" w:hAnsi="Times New Roman" w:cs="Times New Roman"/>
          <w:color w:val="333333"/>
          <w:sz w:val="24"/>
          <w:szCs w:val="24"/>
          <w:lang w:val="en-GB" w:eastAsia="en-GB"/>
        </w:rPr>
        <w:t xml:space="preserve">  (doháníní odvětví mezi sebou)</w:t>
      </w:r>
    </w:p>
    <w:p w:rsidR="001719FD" w:rsidRPr="00E54D02" w:rsidRDefault="001719FD" w:rsidP="00E54D02">
      <w:pPr>
        <w:pStyle w:val="Odstavecseseznamem"/>
        <w:numPr>
          <w:ilvl w:val="0"/>
          <w:numId w:val="7"/>
        </w:numPr>
        <w:shd w:val="clear" w:color="auto" w:fill="FFFFFF"/>
        <w:spacing w:after="360" w:line="360" w:lineRule="auto"/>
        <w:rPr>
          <w:rFonts w:ascii="Times New Roman" w:hAnsi="Times New Roman" w:cs="Times New Roman"/>
          <w:color w:val="333333"/>
          <w:sz w:val="24"/>
          <w:szCs w:val="24"/>
          <w:lang w:val="en-GB" w:eastAsia="en-GB"/>
        </w:rPr>
      </w:pPr>
      <w:r w:rsidRPr="00E54D02">
        <w:rPr>
          <w:rFonts w:ascii="Times New Roman" w:hAnsi="Times New Roman" w:cs="Times New Roman"/>
          <w:color w:val="333333"/>
          <w:sz w:val="24"/>
          <w:szCs w:val="24"/>
          <w:lang w:val="en-GB" w:eastAsia="en-GB"/>
        </w:rPr>
        <w:t xml:space="preserve">Národní úrovni </w:t>
      </w:r>
      <w:r w:rsidR="00523F46" w:rsidRPr="00E54D02">
        <w:rPr>
          <w:rFonts w:ascii="Times New Roman" w:hAnsi="Times New Roman" w:cs="Times New Roman"/>
          <w:color w:val="333333"/>
          <w:sz w:val="24"/>
          <w:szCs w:val="24"/>
          <w:lang w:val="en-GB" w:eastAsia="en-GB"/>
        </w:rPr>
        <w:t xml:space="preserve">     (dohánění  mezi státy  či odětví mezi státy ) </w:t>
      </w:r>
    </w:p>
    <w:p w:rsidR="00523F46" w:rsidRPr="00E54D02" w:rsidRDefault="00523F46" w:rsidP="00E54D02">
      <w:pPr>
        <w:spacing w:line="360" w:lineRule="auto"/>
      </w:pPr>
      <w:r w:rsidRPr="00E54D02">
        <w:t xml:space="preserve">Teorie dohánění je dle </w:t>
      </w:r>
      <w:proofErr w:type="gramStart"/>
      <w:r w:rsidRPr="00E54D02">
        <w:t>Lee</w:t>
      </w:r>
      <w:proofErr w:type="gramEnd"/>
      <w:r w:rsidRPr="00E54D02">
        <w:t xml:space="preserve"> (2019)  orámována třemi paradoxy.</w:t>
      </w:r>
    </w:p>
    <w:p w:rsidR="00523F46" w:rsidRPr="00E54D02" w:rsidRDefault="00523F46" w:rsidP="00E54D02">
      <w:pPr>
        <w:spacing w:line="360" w:lineRule="auto"/>
      </w:pPr>
    </w:p>
    <w:p w:rsidR="00523F46" w:rsidRPr="00E54D02" w:rsidRDefault="00523F46" w:rsidP="00E54D02">
      <w:pPr>
        <w:pStyle w:val="Odstavecseseznamem"/>
        <w:numPr>
          <w:ilvl w:val="0"/>
          <w:numId w:val="8"/>
        </w:numPr>
        <w:spacing w:line="360" w:lineRule="auto"/>
        <w:rPr>
          <w:rFonts w:ascii="Times New Roman" w:hAnsi="Times New Roman" w:cs="Times New Roman"/>
          <w:sz w:val="24"/>
          <w:szCs w:val="24"/>
        </w:rPr>
      </w:pPr>
      <w:r w:rsidRPr="00E54D02">
        <w:rPr>
          <w:rFonts w:ascii="Times New Roman" w:hAnsi="Times New Roman" w:cs="Times New Roman"/>
          <w:sz w:val="24"/>
          <w:szCs w:val="24"/>
        </w:rPr>
        <w:t>Prvním paradoxem je „být podobný, být jiný“, což znamená, že aby dosáhl a dosáhl podobných úrovní jako předchůdci, musí se opozdilec vydat cestou, která je odlišná od cesty předchůdce.</w:t>
      </w:r>
    </w:p>
    <w:p w:rsidR="00523F46" w:rsidRPr="00E54D02" w:rsidRDefault="00523F46" w:rsidP="00E54D02">
      <w:pPr>
        <w:pStyle w:val="Odstavecseseznamem"/>
        <w:numPr>
          <w:ilvl w:val="0"/>
          <w:numId w:val="8"/>
        </w:numPr>
        <w:spacing w:line="360" w:lineRule="auto"/>
        <w:rPr>
          <w:rFonts w:ascii="Times New Roman" w:hAnsi="Times New Roman" w:cs="Times New Roman"/>
          <w:sz w:val="24"/>
          <w:szCs w:val="24"/>
        </w:rPr>
      </w:pPr>
      <w:r w:rsidRPr="00E54D02">
        <w:rPr>
          <w:rFonts w:ascii="Times New Roman" w:hAnsi="Times New Roman" w:cs="Times New Roman"/>
          <w:sz w:val="24"/>
          <w:szCs w:val="24"/>
        </w:rPr>
        <w:t xml:space="preserve">Druhým paradoxem je „objížďka může být rychlejší než přímá cesta“, což znamená, že vzhledem k provozu na přímé silnici může opozdilec objet a dostat se na místo určení rychleji než ostatní. </w:t>
      </w:r>
    </w:p>
    <w:p w:rsidR="00523F46" w:rsidRPr="00E54D02" w:rsidRDefault="00523F46" w:rsidP="00E54D02">
      <w:pPr>
        <w:pStyle w:val="Odstavecseseznamem"/>
        <w:numPr>
          <w:ilvl w:val="0"/>
          <w:numId w:val="8"/>
        </w:numPr>
        <w:spacing w:line="360" w:lineRule="auto"/>
        <w:rPr>
          <w:rFonts w:ascii="Times New Roman" w:hAnsi="Times New Roman" w:cs="Times New Roman"/>
          <w:sz w:val="24"/>
          <w:szCs w:val="24"/>
        </w:rPr>
      </w:pPr>
      <w:r w:rsidRPr="00E54D02">
        <w:rPr>
          <w:rFonts w:ascii="Times New Roman" w:hAnsi="Times New Roman" w:cs="Times New Roman"/>
          <w:sz w:val="24"/>
          <w:szCs w:val="24"/>
        </w:rPr>
        <w:t>Třetím paradoxem je „můžete buď létat, nebo spadnout oknem“, což znamená, že pouze ti, kteří jsou připraveni létat se silnými křídly, se mohou pokusit o skok vzhůru; ostatní budou čelit mnoha rizikům. (Lee, K 2019)</w:t>
      </w:r>
    </w:p>
    <w:p w:rsidR="00523F46" w:rsidRPr="00E54D02" w:rsidRDefault="00523F46" w:rsidP="00E54D02">
      <w:pPr>
        <w:shd w:val="clear" w:color="auto" w:fill="FFFFFF"/>
        <w:spacing w:after="360" w:line="360" w:lineRule="auto"/>
        <w:jc w:val="both"/>
        <w:rPr>
          <w:color w:val="333333"/>
          <w:lang w:val="en-GB" w:eastAsia="en-GB"/>
        </w:rPr>
      </w:pPr>
    </w:p>
    <w:p w:rsidR="00523F46" w:rsidRPr="00E54D02" w:rsidRDefault="00523F46" w:rsidP="00E54D02">
      <w:pPr>
        <w:shd w:val="clear" w:color="auto" w:fill="FFFFFF"/>
        <w:spacing w:after="360" w:line="360" w:lineRule="auto"/>
        <w:jc w:val="both"/>
        <w:rPr>
          <w:color w:val="333333"/>
          <w:lang w:val="en-GB" w:eastAsia="en-GB"/>
        </w:rPr>
      </w:pPr>
      <w:r w:rsidRPr="00E54D02">
        <w:rPr>
          <w:color w:val="333333"/>
          <w:lang w:val="en-GB" w:eastAsia="en-GB"/>
        </w:rPr>
        <w:lastRenderedPageBreak/>
        <w:t>Možnost dohánění v oblasti produktivity je malých a středních států limitovány možnostmi co jí dává globalizace nebo-li vzájemné propojení ekonomiky, kdy trh v těchto státech je relativně malý k tomu, aby podniky snažící o růstu produktivity mohly využí</w:t>
      </w:r>
      <w:r w:rsidR="00F3549C" w:rsidRPr="00E54D02">
        <w:rPr>
          <w:color w:val="333333"/>
          <w:lang w:val="en-GB" w:eastAsia="en-GB"/>
        </w:rPr>
        <w:t>vat výnosy z rozsahu.  Dle Dfid</w:t>
      </w:r>
      <w:r w:rsidRPr="00E54D02">
        <w:rPr>
          <w:color w:val="333333"/>
          <w:lang w:val="en-GB" w:eastAsia="en-GB"/>
        </w:rPr>
        <w:t xml:space="preserve"> (2008) musí být budoucí růst produktivity založen </w:t>
      </w:r>
      <w:proofErr w:type="gramStart"/>
      <w:r w:rsidRPr="00E54D02">
        <w:rPr>
          <w:color w:val="333333"/>
          <w:lang w:val="en-GB" w:eastAsia="en-GB"/>
        </w:rPr>
        <w:t>na</w:t>
      </w:r>
      <w:proofErr w:type="gramEnd"/>
      <w:r w:rsidRPr="00E54D02">
        <w:rPr>
          <w:color w:val="333333"/>
          <w:lang w:val="en-GB" w:eastAsia="en-GB"/>
        </w:rPr>
        <w:t xml:space="preserve"> stále globalizovanějším světě, který nabízí nové příležitosti, ale také nové výzvy. Nové technologie nabízejí nejen „doháněcí</w:t>
      </w:r>
      <w:proofErr w:type="gramStart"/>
      <w:r w:rsidRPr="00E54D02">
        <w:rPr>
          <w:color w:val="333333"/>
          <w:lang w:val="en-GB" w:eastAsia="en-GB"/>
        </w:rPr>
        <w:t>“ potenciál</w:t>
      </w:r>
      <w:proofErr w:type="gramEnd"/>
      <w:r w:rsidRPr="00E54D02">
        <w:rPr>
          <w:color w:val="333333"/>
          <w:lang w:val="en-GB" w:eastAsia="en-GB"/>
        </w:rPr>
        <w:t>, ale také „skokové“ možnosti zvýšení produktivity.</w:t>
      </w:r>
    </w:p>
    <w:p w:rsidR="002F02BF" w:rsidRPr="00E54D02" w:rsidRDefault="00F3549C" w:rsidP="00E54D02">
      <w:pPr>
        <w:shd w:val="clear" w:color="auto" w:fill="FFFFFF"/>
        <w:spacing w:after="360" w:line="360" w:lineRule="auto"/>
        <w:jc w:val="both"/>
        <w:rPr>
          <w:color w:val="333333"/>
          <w:lang w:val="en-GB" w:eastAsia="en-GB"/>
        </w:rPr>
      </w:pPr>
      <w:r w:rsidRPr="00E54D02">
        <w:rPr>
          <w:color w:val="333333"/>
          <w:lang w:val="en-GB" w:eastAsia="en-GB"/>
        </w:rPr>
        <w:t>V</w:t>
      </w:r>
      <w:r w:rsidR="00D62267" w:rsidRPr="00E54D02">
        <w:rPr>
          <w:color w:val="333333"/>
          <w:lang w:val="en-GB" w:eastAsia="en-GB"/>
        </w:rPr>
        <w:t xml:space="preserve">elké rozdíly v produktivitě v rámci odvětví naznačují, že zaostávající podniky mají dostatek prostoru k tomu, aby se v produktivitě vyrovnaly vedoucím podnikům v odvětví. K dohánění zaostávajících podniků v produktivitě docházet z různých důvodů, například v důsledku </w:t>
      </w:r>
      <w:proofErr w:type="gramStart"/>
      <w:r w:rsidR="00D62267" w:rsidRPr="00E54D02">
        <w:rPr>
          <w:color w:val="333333"/>
          <w:lang w:val="en-GB" w:eastAsia="en-GB"/>
        </w:rPr>
        <w:t>záměrných  vlád</w:t>
      </w:r>
      <w:proofErr w:type="gramEnd"/>
      <w:r w:rsidR="00D62267" w:rsidRPr="00E54D02">
        <w:rPr>
          <w:color w:val="333333"/>
          <w:lang w:val="en-GB" w:eastAsia="en-GB"/>
        </w:rPr>
        <w:t xml:space="preserve"> a v důsledku přirozených procesů šíření technologií.  Podniky zejména v dlouhodobém horizontu investují do výzkumu a vývoje, aby maximalizovaly zisky s následnými dalšími efekty (Ferrett 2006)</w:t>
      </w:r>
      <w:r w:rsidRPr="00E54D02">
        <w:rPr>
          <w:color w:val="333333"/>
          <w:lang w:val="en-GB" w:eastAsia="en-GB"/>
        </w:rPr>
        <w:t xml:space="preserve">.  </w:t>
      </w:r>
      <w:r w:rsidR="002F02BF" w:rsidRPr="00E54D02">
        <w:rPr>
          <w:color w:val="2A2D35"/>
          <w:shd w:val="clear" w:color="auto" w:fill="F8F8F8"/>
        </w:rPr>
        <w:t xml:space="preserve"> U států, které mají lepší </w:t>
      </w:r>
      <w:r w:rsidR="00D62267" w:rsidRPr="00E54D02">
        <w:rPr>
          <w:color w:val="2A2D35"/>
          <w:shd w:val="clear" w:color="auto" w:fill="F8F8F8"/>
        </w:rPr>
        <w:t xml:space="preserve"> </w:t>
      </w:r>
      <w:r w:rsidR="002F02BF" w:rsidRPr="00E54D02">
        <w:rPr>
          <w:color w:val="2A2D35"/>
          <w:shd w:val="clear" w:color="auto" w:fill="F8F8F8"/>
        </w:rPr>
        <w:t xml:space="preserve">přístupu k inovacím a znalostem má pozitivní dopad  na ekonomický růst a </w:t>
      </w:r>
      <w:r w:rsidR="00D62267" w:rsidRPr="00E54D02">
        <w:rPr>
          <w:color w:val="2A2D35"/>
          <w:shd w:val="clear" w:color="auto" w:fill="F8F8F8"/>
        </w:rPr>
        <w:t>zrychlení modelu hospodářské konvergence, ale také o tom, že toto zlepšení má ještě větší účinek na rozvojové země, pokud je demokracie dobře rozvinutá, což ještě více urychluj</w:t>
      </w:r>
      <w:r w:rsidR="002F02BF" w:rsidRPr="00E54D02">
        <w:rPr>
          <w:color w:val="2A2D35"/>
          <w:shd w:val="clear" w:color="auto" w:fill="F8F8F8"/>
        </w:rPr>
        <w:t xml:space="preserve">e model ekonomické konvergence. </w:t>
      </w:r>
      <w:r w:rsidR="002F02BF" w:rsidRPr="00E54D02">
        <w:t>(Perez-Trujillo &amp; Lacalle-Calderon, 2020)</w:t>
      </w:r>
    </w:p>
    <w:p w:rsidR="009F1C3E" w:rsidRPr="009F1C3E" w:rsidRDefault="009F1C3E" w:rsidP="009F1C3E">
      <w:pPr>
        <w:shd w:val="clear" w:color="auto" w:fill="FFFFFF"/>
        <w:spacing w:after="360" w:line="360" w:lineRule="auto"/>
        <w:rPr>
          <w:color w:val="333333"/>
          <w:lang w:val="en-GB" w:eastAsia="en-GB"/>
        </w:rPr>
      </w:pPr>
      <w:r w:rsidRPr="009F1C3E">
        <w:rPr>
          <w:color w:val="333333"/>
          <w:lang w:val="en-GB" w:eastAsia="en-GB"/>
        </w:rPr>
        <w:t xml:space="preserve">Jung a Lee (2010), kteří za zabývali oblastí přibložování proudktivity japonských a korejských firem zjistili, že v odvětvích s vyšší produktivitou se rozdíly v produktivitě snižují. </w:t>
      </w:r>
      <w:proofErr w:type="gramStart"/>
      <w:r w:rsidRPr="009F1C3E">
        <w:rPr>
          <w:color w:val="333333"/>
          <w:lang w:val="en-GB" w:eastAsia="en-GB"/>
        </w:rPr>
        <w:t>inovacemi</w:t>
      </w:r>
      <w:proofErr w:type="gramEnd"/>
      <w:r w:rsidRPr="009F1C3E">
        <w:rPr>
          <w:color w:val="333333"/>
          <w:lang w:val="en-GB" w:eastAsia="en-GB"/>
        </w:rPr>
        <w:t>, explicitními technologiemi a znalostmi a větší monopolní silou. (</w:t>
      </w:r>
      <w:proofErr w:type="gramStart"/>
      <w:r w:rsidRPr="009F1C3E">
        <w:rPr>
          <w:color w:val="333333"/>
          <w:lang w:val="en-GB" w:eastAsia="en-GB"/>
        </w:rPr>
        <w:t>větší</w:t>
      </w:r>
      <w:proofErr w:type="gramEnd"/>
      <w:r w:rsidRPr="009F1C3E">
        <w:rPr>
          <w:color w:val="333333"/>
          <w:lang w:val="en-GB" w:eastAsia="en-GB"/>
        </w:rPr>
        <w:t xml:space="preserve"> tržní podíl špičkové firmy). To znamená, že charakteristiky </w:t>
      </w:r>
      <w:proofErr w:type="gramStart"/>
      <w:r w:rsidRPr="009F1C3E">
        <w:rPr>
          <w:color w:val="333333"/>
          <w:lang w:val="en-GB" w:eastAsia="en-GB"/>
        </w:rPr>
        <w:t>na</w:t>
      </w:r>
      <w:proofErr w:type="gramEnd"/>
      <w:r w:rsidRPr="009F1C3E">
        <w:rPr>
          <w:color w:val="333333"/>
          <w:lang w:val="en-GB" w:eastAsia="en-GB"/>
        </w:rPr>
        <w:t xml:space="preserve"> úrovni odvětví spíše než faktory na úrovni podniku jsou pro mezinárodní dohánění produktivity důležitější.</w:t>
      </w:r>
    </w:p>
    <w:p w:rsidR="009F1C3E" w:rsidRPr="009F1C3E" w:rsidRDefault="009F1C3E" w:rsidP="009F1C3E">
      <w:pPr>
        <w:shd w:val="clear" w:color="auto" w:fill="FFFFFF"/>
        <w:spacing w:after="360" w:line="360" w:lineRule="auto"/>
        <w:rPr>
          <w:color w:val="333333"/>
          <w:lang w:val="en-GB" w:eastAsia="en-GB"/>
        </w:rPr>
      </w:pPr>
    </w:p>
    <w:p w:rsidR="00577155" w:rsidRPr="00E54D02" w:rsidRDefault="00577155" w:rsidP="00E54D02">
      <w:pPr>
        <w:spacing w:line="360" w:lineRule="auto"/>
        <w:rPr>
          <w:color w:val="292C2E"/>
        </w:rPr>
      </w:pPr>
      <w:r w:rsidRPr="00E54D02">
        <w:rPr>
          <w:color w:val="292C2E"/>
        </w:rPr>
        <w:t>Konvergence</w:t>
      </w:r>
      <w:r w:rsidR="00F970CB" w:rsidRPr="00E54D02">
        <w:rPr>
          <w:color w:val="292C2E"/>
        </w:rPr>
        <w:t xml:space="preserve"> produktivity </w:t>
      </w:r>
    </w:p>
    <w:p w:rsidR="00577155" w:rsidRPr="00E54D02" w:rsidRDefault="00577155" w:rsidP="00E54D02">
      <w:pPr>
        <w:spacing w:line="360" w:lineRule="auto"/>
        <w:rPr>
          <w:color w:val="292C2E"/>
        </w:rPr>
      </w:pPr>
    </w:p>
    <w:p w:rsidR="00577155" w:rsidRPr="00E54D02" w:rsidRDefault="00577155" w:rsidP="00E54D02">
      <w:pPr>
        <w:spacing w:line="360" w:lineRule="auto"/>
        <w:jc w:val="both"/>
      </w:pPr>
      <w:r w:rsidRPr="00E54D02">
        <w:t>Tato část práce se bude zabývat vymezení ekonomické konvergence</w:t>
      </w:r>
      <w:r w:rsidR="00F970CB" w:rsidRPr="00E54D02">
        <w:t xml:space="preserve"> a konvergence produktivity</w:t>
      </w:r>
      <w:r w:rsidRPr="00E54D02">
        <w:t xml:space="preserve">. Vedle vymezení samotného pojmu konvergence jsou představeny hlavní dvě teorie ekonomického </w:t>
      </w:r>
      <w:proofErr w:type="gramStart"/>
      <w:r w:rsidRPr="00E54D02">
        <w:t>růstu ze</w:t>
      </w:r>
      <w:proofErr w:type="gramEnd"/>
      <w:r w:rsidRPr="00E54D02">
        <w:t xml:space="preserve"> kterých se vychází a dále jsou charakterizovány hlavní typy ekonomické konvergence. Významu ekonomické konvergence je věnována poslední část této kapitoly.</w:t>
      </w:r>
    </w:p>
    <w:p w:rsidR="00577155" w:rsidRPr="00E54D02" w:rsidRDefault="00577155" w:rsidP="00E54D02">
      <w:pPr>
        <w:spacing w:line="360" w:lineRule="auto"/>
        <w:jc w:val="both"/>
      </w:pPr>
    </w:p>
    <w:p w:rsidR="00577155" w:rsidRPr="00E54D02" w:rsidRDefault="00577155" w:rsidP="00E54D02">
      <w:pPr>
        <w:spacing w:line="360" w:lineRule="auto"/>
        <w:jc w:val="both"/>
      </w:pPr>
      <w:r w:rsidRPr="00E54D02">
        <w:lastRenderedPageBreak/>
        <w:t xml:space="preserve">Obecně nám konvergence říká, že rozdíl mezi dvěma nebo více proměnnými se v čase zmenšuje a konverguje k nule. Dle Nevimy a Meleckého (2011) můžeme konvergenci chápat  jako proces přibližování se k určité úrovni,  zmenšování rozdílu mezi dvěma proměnnými v čase (Nevima a Melecký, 2011). Opakem konvergence je pak divergence. </w:t>
      </w:r>
    </w:p>
    <w:p w:rsidR="00577155" w:rsidRPr="00E54D02" w:rsidRDefault="00577155" w:rsidP="00E54D02">
      <w:pPr>
        <w:spacing w:line="360" w:lineRule="auto"/>
        <w:jc w:val="both"/>
      </w:pPr>
    </w:p>
    <w:p w:rsidR="00577155" w:rsidRPr="00E54D02" w:rsidRDefault="00577155" w:rsidP="00E54D02">
      <w:pPr>
        <w:spacing w:line="360" w:lineRule="auto"/>
        <w:jc w:val="both"/>
      </w:pPr>
      <w:r w:rsidRPr="00E54D02">
        <w:t>Ekonomická konvergence definován je proces, při kterém dochází ke zmenšování  rozdílů mezi více vyspělými  a méně vyspělými ekonomikami.  Koncept ekonomické konvergence je rozvíjen především na mezinárodní  či regionální úrovni, kdy je domácí země (region) je  srovnávána se skupinou vybraných ekonomik či regionů (Rui et al, 2019).  Je nutné zde upozornit, že rozdíly ve výkonnosti růstu mezi vyspělými a rozvojovými zeměmi, navzdory předpovědím mohou vést k odlišnému vývoji tedy divergenci.</w:t>
      </w:r>
    </w:p>
    <w:p w:rsidR="00577155" w:rsidRPr="00E54D02" w:rsidRDefault="00577155" w:rsidP="00E54D02">
      <w:pPr>
        <w:spacing w:line="360" w:lineRule="auto"/>
        <w:jc w:val="both"/>
      </w:pPr>
    </w:p>
    <w:p w:rsidR="00577155" w:rsidRPr="00E54D02" w:rsidRDefault="00577155" w:rsidP="00E54D02">
      <w:pPr>
        <w:spacing w:line="360" w:lineRule="auto"/>
        <w:jc w:val="both"/>
      </w:pPr>
      <w:r w:rsidRPr="00E54D02">
        <w:t xml:space="preserve">Hypotéza ekonomické konvergence byla studována jak pod optikou exogenních, tak endogenních modelů růstu.  Teorie exogenního modelů růstu vychází z práce Solowa (1956) a základem pro teorie endogenního růstu je práce Romera (1986). Exogenní modely růstu  předpokládají, že růst je tažen exogenním technologickým pokrokem, při kterém akumulace kapitálu zaručuje ekonomickou konvergenci. Naopak modely endogenního růstu zdůrazňují význam lidského a fyzického kapitálu, přičemž potenciální nedostatek konvergence vyplývá ze zvyšování návratnosti kapitálu (Cartone et al., 2021). </w:t>
      </w:r>
    </w:p>
    <w:p w:rsidR="00577155" w:rsidRPr="00E54D02" w:rsidRDefault="00577155" w:rsidP="00E54D02">
      <w:pPr>
        <w:spacing w:line="360" w:lineRule="auto"/>
        <w:jc w:val="both"/>
      </w:pPr>
    </w:p>
    <w:p w:rsidR="00577155" w:rsidRPr="00E54D02" w:rsidRDefault="00577155" w:rsidP="00E54D02">
      <w:pPr>
        <w:spacing w:line="360" w:lineRule="auto"/>
      </w:pPr>
    </w:p>
    <w:p w:rsidR="00577155" w:rsidRPr="00E54D02" w:rsidRDefault="00577155" w:rsidP="00E54D02">
      <w:pPr>
        <w:spacing w:line="360" w:lineRule="auto"/>
      </w:pPr>
      <w:r w:rsidRPr="00E54D02">
        <w:t xml:space="preserve">Typy a druhy konvergence </w:t>
      </w:r>
    </w:p>
    <w:p w:rsidR="00577155" w:rsidRPr="00E54D02" w:rsidRDefault="00577155" w:rsidP="00E54D02">
      <w:pPr>
        <w:spacing w:line="360" w:lineRule="auto"/>
      </w:pPr>
    </w:p>
    <w:p w:rsidR="00577155" w:rsidRPr="00E54D02" w:rsidRDefault="00577155" w:rsidP="00E54D02">
      <w:pPr>
        <w:spacing w:line="360" w:lineRule="auto"/>
      </w:pPr>
      <w:r w:rsidRPr="00E54D02">
        <w:t>Při měření přibližování ekonomik se rozlišují dva základní typy konvergence. Nejčastějším</w:t>
      </w:r>
    </w:p>
    <w:p w:rsidR="00577155" w:rsidRPr="00E54D02" w:rsidRDefault="00577155" w:rsidP="00E54D02">
      <w:pPr>
        <w:spacing w:line="360" w:lineRule="auto"/>
      </w:pPr>
      <w:r w:rsidRPr="00E54D02">
        <w:t>členěním konvergence je její rozdělení na dva typy - reálnou a nominální.</w:t>
      </w:r>
    </w:p>
    <w:p w:rsidR="00577155" w:rsidRPr="00E54D02" w:rsidRDefault="00577155" w:rsidP="00E54D02">
      <w:pPr>
        <w:spacing w:line="360" w:lineRule="auto"/>
      </w:pPr>
    </w:p>
    <w:p w:rsidR="00577155" w:rsidRPr="00E54D02" w:rsidRDefault="00577155" w:rsidP="00E54D02">
      <w:pPr>
        <w:spacing w:line="360" w:lineRule="auto"/>
      </w:pPr>
      <w:r w:rsidRPr="00E54D02">
        <w:t>Reálná konvergence</w:t>
      </w:r>
    </w:p>
    <w:p w:rsidR="00577155" w:rsidRPr="00E54D02" w:rsidRDefault="00577155" w:rsidP="00E54D02">
      <w:pPr>
        <w:spacing w:line="360" w:lineRule="auto"/>
        <w:jc w:val="both"/>
      </w:pPr>
      <w:r w:rsidRPr="00E54D02">
        <w:t>V makroekonomickém smyslu  se reálnou konvergencí rozumí proces dohánění vyspělých ekonomik méně vyspělými ekonomikami nebo přibližování se jejich reálným parametrům a podmínkám (</w:t>
      </w:r>
      <w:r w:rsidRPr="00E54D02">
        <w:rPr>
          <w:color w:val="222222"/>
          <w:shd w:val="clear" w:color="auto" w:fill="FFFFFF"/>
        </w:rPr>
        <w:t xml:space="preserve">Šikulová, I. 2006).  Pod reálnou konvergencí si lze představit </w:t>
      </w:r>
      <w:r w:rsidRPr="00E54D02">
        <w:t xml:space="preserve">přibližování ekonomické úrovně nějaké země, regionu či podniku, k ekonomické úrovni ekonomicky vyspělejší země, regionu nebo podniku. Často dochází ke srovnávání se skupinou zemí, regionů či podniků.  Nejčastějším používaným ukazatelem pro mezinárodní srovnání se využívá HDP na obyvatele či další ukazatele, které z HDP vychází. Často se zde využívá  vyjádření ukazatelů </w:t>
      </w:r>
      <w:r w:rsidRPr="00E54D02">
        <w:lastRenderedPageBreak/>
        <w:t xml:space="preserve">v paritě kupní síly (PPP) nebo standardu kupní síly (PPS), které eliminuje cenové rozdíly mezi zeměmi.    </w:t>
      </w:r>
    </w:p>
    <w:p w:rsidR="00577155" w:rsidRPr="00E54D02" w:rsidRDefault="00577155" w:rsidP="00E54D02">
      <w:pPr>
        <w:spacing w:line="360" w:lineRule="auto"/>
      </w:pPr>
    </w:p>
    <w:p w:rsidR="00577155" w:rsidRPr="00E54D02" w:rsidRDefault="00577155" w:rsidP="00E54D02">
      <w:pPr>
        <w:spacing w:line="360" w:lineRule="auto"/>
      </w:pPr>
    </w:p>
    <w:p w:rsidR="00577155" w:rsidRPr="00E54D02" w:rsidRDefault="00577155" w:rsidP="00E54D02">
      <w:pPr>
        <w:spacing w:line="360" w:lineRule="auto"/>
      </w:pPr>
      <w:r w:rsidRPr="00E54D02">
        <w:t xml:space="preserve">Nominální konvergence </w:t>
      </w:r>
    </w:p>
    <w:p w:rsidR="00577155" w:rsidRPr="00E54D02" w:rsidRDefault="00577155" w:rsidP="00E54D02">
      <w:pPr>
        <w:spacing w:line="360" w:lineRule="auto"/>
      </w:pPr>
    </w:p>
    <w:p w:rsidR="00577155" w:rsidRPr="00E54D02" w:rsidRDefault="00577155" w:rsidP="00E54D02">
      <w:pPr>
        <w:spacing w:line="360" w:lineRule="auto"/>
        <w:jc w:val="both"/>
      </w:pPr>
      <w:r w:rsidRPr="00E54D02">
        <w:t>Nominální konvergence v širším pojetí představuje konvergenci nominálních veličin, jako jsou ceny, míra inflace, úrokové sazby, nominální mzdy, atd. V užším pojetí se za nominální konvergenci považuje konvergence cen. Z makroekonomického hlediska jde o konvergenci srovnatelné cenové hladiny  (</w:t>
      </w:r>
      <w:r w:rsidRPr="00E54D02">
        <w:rPr>
          <w:color w:val="222222"/>
          <w:shd w:val="clear" w:color="auto" w:fill="FFFFFF"/>
        </w:rPr>
        <w:t xml:space="preserve">Drastichová, </w:t>
      </w:r>
      <w:proofErr w:type="gramStart"/>
      <w:r w:rsidRPr="00E54D02">
        <w:rPr>
          <w:color w:val="222222"/>
          <w:shd w:val="clear" w:color="auto" w:fill="FFFFFF"/>
        </w:rPr>
        <w:t>M. ,2012</w:t>
      </w:r>
      <w:proofErr w:type="gramEnd"/>
      <w:r w:rsidRPr="00E54D02">
        <w:rPr>
          <w:color w:val="222222"/>
          <w:shd w:val="clear" w:color="auto" w:fill="FFFFFF"/>
        </w:rPr>
        <w:t>).</w:t>
      </w:r>
      <w:r w:rsidRPr="00E54D02">
        <w:t xml:space="preserve">  Můžeme nominální konvegenci tedy označuje proces, kdy dochází k přibližování nominálních (převážně cenových) veličin vzhledem k jisté cenové úrovni (Žďárek 2006).  Vztah mezi nominální a reálnou konvergencí lze oboustranný a vzájemně se ovlivňující (Hančlová et. </w:t>
      </w:r>
      <w:proofErr w:type="gramStart"/>
      <w:r w:rsidRPr="00E54D02">
        <w:t>al</w:t>
      </w:r>
      <w:proofErr w:type="gramEnd"/>
      <w:r w:rsidRPr="00E54D02">
        <w:t xml:space="preserve">. 2010). </w:t>
      </w:r>
    </w:p>
    <w:p w:rsidR="00577155" w:rsidRPr="00E54D02" w:rsidRDefault="00577155" w:rsidP="00E54D02">
      <w:pPr>
        <w:spacing w:line="360" w:lineRule="auto"/>
        <w:jc w:val="both"/>
      </w:pPr>
    </w:p>
    <w:p w:rsidR="00577155" w:rsidRPr="00E54D02" w:rsidRDefault="00577155" w:rsidP="00E54D02">
      <w:pPr>
        <w:spacing w:line="360" w:lineRule="auto"/>
        <w:jc w:val="both"/>
      </w:pPr>
      <w:r w:rsidRPr="00E54D02">
        <w:t xml:space="preserve">Někteří autoři si pod nominální konvergenci představují pro plnění maastrichtských konvergenčních kritérií (AURSULESEI &amp; MAHA, 2019), což může být velmi zjednodušující. </w:t>
      </w:r>
      <w:proofErr w:type="gramStart"/>
      <w:r w:rsidRPr="00E54D02">
        <w:t>Tako</w:t>
      </w:r>
      <w:proofErr w:type="gramEnd"/>
      <w:r w:rsidRPr="00E54D02">
        <w:t xml:space="preserve"> kritéria </w:t>
      </w:r>
      <w:proofErr w:type="gramStart"/>
      <w:r w:rsidRPr="00E54D02">
        <w:t>byla</w:t>
      </w:r>
      <w:proofErr w:type="gramEnd"/>
      <w:r w:rsidRPr="00E54D02">
        <w:t xml:space="preserve"> vytvořená jako podmínka vstupu zemí do evropské měnové unie (EMU) a patří sem:</w:t>
      </w:r>
    </w:p>
    <w:p w:rsidR="00577155" w:rsidRPr="00E54D02" w:rsidRDefault="00577155" w:rsidP="00E54D02">
      <w:pPr>
        <w:spacing w:line="360" w:lineRule="auto"/>
        <w:jc w:val="both"/>
      </w:pPr>
    </w:p>
    <w:p w:rsidR="00577155" w:rsidRPr="00E54D02" w:rsidRDefault="00577155" w:rsidP="00E54D02">
      <w:pPr>
        <w:spacing w:line="360" w:lineRule="auto"/>
        <w:jc w:val="both"/>
      </w:pPr>
      <w:r w:rsidRPr="00E54D02">
        <w:rPr>
          <w:b/>
        </w:rPr>
        <w:t>Kritérium cenové stability</w:t>
      </w:r>
      <w:r w:rsidRPr="00E54D02">
        <w:t xml:space="preserve"> znamená, že členský stát vykazuje dlouhodobě udržitelnou cenovou stabilitu a průměrnou míru inflace, sledovanou během jednoho roku před šetřením, která nepřekračuje o více než 1,5 procentního bodu míry inflace těch – nanejvýše tří – členských států, které dosáhly nejlepších výsledků v oblasti cenové stability. </w:t>
      </w:r>
    </w:p>
    <w:p w:rsidR="00577155" w:rsidRPr="00E54D02" w:rsidRDefault="00577155" w:rsidP="00E54D02">
      <w:pPr>
        <w:spacing w:line="360" w:lineRule="auto"/>
        <w:jc w:val="both"/>
      </w:pPr>
      <w:r w:rsidRPr="00E54D02">
        <w:rPr>
          <w:b/>
          <w:bCs/>
        </w:rPr>
        <w:t>Kritérium veřejného deficitu</w:t>
      </w:r>
      <w:r w:rsidRPr="00E54D02">
        <w:t> znamená, že poměr plánovaného nebo skutečného schodku veřejných financí k hrubému domácímu produktu v tržních cenách nepřekročí 3 %,</w:t>
      </w:r>
    </w:p>
    <w:p w:rsidR="00577155" w:rsidRPr="00E54D02" w:rsidRDefault="00577155" w:rsidP="00E54D02">
      <w:pPr>
        <w:spacing w:line="360" w:lineRule="auto"/>
        <w:jc w:val="both"/>
      </w:pPr>
    </w:p>
    <w:p w:rsidR="00577155" w:rsidRPr="00E54D02" w:rsidRDefault="00577155" w:rsidP="00E54D02">
      <w:pPr>
        <w:spacing w:line="360" w:lineRule="auto"/>
        <w:jc w:val="both"/>
      </w:pPr>
      <w:r w:rsidRPr="00E54D02">
        <w:rPr>
          <w:b/>
          <w:bCs/>
        </w:rPr>
        <w:t>kritérium veřejného dluhu</w:t>
      </w:r>
      <w:r w:rsidRPr="00E54D02">
        <w:t> znamená, že poměr veřejného dluhu v tržních cenách k hrubému domácímu produktu nepřekročí 60 %,</w:t>
      </w:r>
    </w:p>
    <w:p w:rsidR="00577155" w:rsidRPr="00E54D02" w:rsidRDefault="00577155" w:rsidP="00E54D02">
      <w:pPr>
        <w:spacing w:line="360" w:lineRule="auto"/>
        <w:jc w:val="both"/>
      </w:pPr>
    </w:p>
    <w:p w:rsidR="00577155" w:rsidRPr="00E54D02" w:rsidRDefault="00577155" w:rsidP="00E54D02">
      <w:pPr>
        <w:spacing w:line="360" w:lineRule="auto"/>
        <w:jc w:val="both"/>
      </w:pPr>
      <w:r w:rsidRPr="00E54D02">
        <w:rPr>
          <w:b/>
          <w:bCs/>
        </w:rPr>
        <w:t>Kritérium stability kurzu měny a účasti v ERM II</w:t>
      </w:r>
      <w:r w:rsidRPr="00E54D02">
        <w:t> znamená, že členský stát dodržoval normální rozpětí, která jsou stanovena mechanismem směnných kurzů Evropského měnového systému, bez značného napětí během alespoň dvou posledních let.</w:t>
      </w:r>
    </w:p>
    <w:p w:rsidR="00577155" w:rsidRPr="00E54D02" w:rsidRDefault="00577155" w:rsidP="00E54D02">
      <w:pPr>
        <w:spacing w:line="360" w:lineRule="auto"/>
        <w:jc w:val="both"/>
      </w:pPr>
    </w:p>
    <w:p w:rsidR="00577155" w:rsidRPr="00E54D02" w:rsidRDefault="00577155" w:rsidP="00E54D02">
      <w:pPr>
        <w:spacing w:line="360" w:lineRule="auto"/>
        <w:jc w:val="both"/>
      </w:pPr>
      <w:r w:rsidRPr="00E54D02">
        <w:rPr>
          <w:b/>
          <w:bCs/>
        </w:rPr>
        <w:lastRenderedPageBreak/>
        <w:t>Kritérium dlouhodobých úrokových sazeb</w:t>
      </w:r>
      <w:r w:rsidRPr="00E54D02">
        <w:t> znamená, že v průběhu jednoho roku před šetřením průměrná dlouhodobá nominální úroková sazba členského státu nepřekračovala o více než 2 procentní body úrokovou sazbu těch – nanejvýše tří – členských států, které dosáhly nejlepších výsledků v oblasti cenové stability (www.cnb.cz). </w:t>
      </w:r>
    </w:p>
    <w:p w:rsidR="00577155" w:rsidRPr="00E54D02" w:rsidRDefault="00577155" w:rsidP="00E54D02">
      <w:pPr>
        <w:spacing w:line="360" w:lineRule="auto"/>
        <w:jc w:val="both"/>
      </w:pPr>
    </w:p>
    <w:p w:rsidR="00577155" w:rsidRPr="00E54D02" w:rsidRDefault="00577155" w:rsidP="00E54D02">
      <w:pPr>
        <w:spacing w:line="360" w:lineRule="auto"/>
      </w:pPr>
    </w:p>
    <w:p w:rsidR="00577155" w:rsidRPr="00E54D02" w:rsidRDefault="00577155" w:rsidP="00E54D02">
      <w:pPr>
        <w:spacing w:line="360" w:lineRule="auto"/>
      </w:pPr>
      <w:r w:rsidRPr="00E54D02">
        <w:t>Beta a sigma-konvergence</w:t>
      </w:r>
    </w:p>
    <w:p w:rsidR="00577155" w:rsidRPr="00E54D02" w:rsidRDefault="00577155" w:rsidP="00E54D02">
      <w:pPr>
        <w:spacing w:line="360" w:lineRule="auto"/>
      </w:pPr>
    </w:p>
    <w:p w:rsidR="00577155" w:rsidRPr="00E54D02" w:rsidRDefault="00577155" w:rsidP="00E54D02">
      <w:pPr>
        <w:spacing w:line="360" w:lineRule="auto"/>
      </w:pPr>
      <w:r w:rsidRPr="00E54D02">
        <w:t xml:space="preserve">Mezi další typy konvergence můžeme zařadit betu a sigmu konvergence, které jsou základem   při ověřování konvergence. </w:t>
      </w:r>
    </w:p>
    <w:p w:rsidR="00577155" w:rsidRPr="00E54D02" w:rsidRDefault="00577155" w:rsidP="00E54D02">
      <w:pPr>
        <w:spacing w:line="360" w:lineRule="auto"/>
      </w:pPr>
    </w:p>
    <w:p w:rsidR="00577155" w:rsidRPr="00E54D02" w:rsidRDefault="00577155" w:rsidP="00E54D02">
      <w:pPr>
        <w:spacing w:line="360" w:lineRule="auto"/>
        <w:rPr>
          <w:color w:val="292C2E"/>
        </w:rPr>
      </w:pPr>
      <w:r w:rsidRPr="00E54D02">
        <w:rPr>
          <w:color w:val="292C2E"/>
        </w:rPr>
        <w:t>Beta konvergence</w:t>
      </w:r>
    </w:p>
    <w:p w:rsidR="00577155" w:rsidRPr="00E54D02" w:rsidRDefault="00577155" w:rsidP="00E54D02">
      <w:pPr>
        <w:spacing w:line="360" w:lineRule="auto"/>
        <w:jc w:val="both"/>
        <w:rPr>
          <w:color w:val="292C2E"/>
        </w:rPr>
      </w:pPr>
    </w:p>
    <w:p w:rsidR="00577155" w:rsidRPr="00E54D02" w:rsidRDefault="00577155" w:rsidP="00E54D02">
      <w:pPr>
        <w:spacing w:line="360" w:lineRule="auto"/>
        <w:jc w:val="both"/>
        <w:rPr>
          <w:color w:val="292C2E"/>
        </w:rPr>
      </w:pPr>
      <w:r w:rsidRPr="00E54D02">
        <w:rPr>
          <w:color w:val="292C2E"/>
        </w:rPr>
        <w:t>Koncept β-konvergence je možné tedy  chápat jako sbližování ekonomické úrovně různých zemí (asociace konvergence produktivity práce v členských zemích EU). β-konvergence vychází z neoklasického pojetí ekonomického růstu, kdy růst produktivity práce je v tomto případě negativně závislý na výchozí ekonomické úrovni. Ekonomický parametr β ukazuje rychlost konvergence, pokud je parametr záporný, a σ ukazuje trend konvergence nebo divergence, protože tento faktor ukazuje zužování, resp. rozšiřování rozptylu vzorku analyzovaných dat.</w:t>
      </w:r>
    </w:p>
    <w:p w:rsidR="00577155" w:rsidRPr="00E54D02" w:rsidRDefault="00577155" w:rsidP="00E54D02">
      <w:pPr>
        <w:spacing w:line="360" w:lineRule="auto"/>
        <w:jc w:val="both"/>
        <w:rPr>
          <w:color w:val="292C2E"/>
        </w:rPr>
      </w:pPr>
      <w:r w:rsidRPr="00E54D02">
        <w:rPr>
          <w:color w:val="292C2E"/>
        </w:rPr>
        <w:t>V pojetí β-konvergence to znamená, že země s nižší úrovní produktivity práce rostou ve výchozím bodě sledování rychleji ve srovnání se zeměmi s vyšší úrovní tohoto ukazatele. β-konvergenci lze definovat pomocí následující regresní rovnice Baumola (1986):</w:t>
      </w:r>
    </w:p>
    <w:p w:rsidR="00577155" w:rsidRPr="00E54D02" w:rsidRDefault="00663322" w:rsidP="00E54D02">
      <w:pPr>
        <w:autoSpaceDE w:val="0"/>
        <w:autoSpaceDN w:val="0"/>
        <w:adjustRightInd w:val="0"/>
        <w:spacing w:line="360" w:lineRule="auto"/>
        <w:ind w:firstLine="426"/>
        <w:jc w:val="both"/>
        <w:rPr>
          <w:lang w:val="en-GB"/>
        </w:rPr>
      </w:pPr>
      <m:oMath>
        <m:f>
          <m:fPr>
            <m:ctrlPr>
              <w:rPr>
                <w:rFonts w:ascii="Cambria Math" w:hAnsi="Cambria Math"/>
                <w:i/>
                <w:lang w:val="en-GB"/>
              </w:rPr>
            </m:ctrlPr>
          </m:fPr>
          <m:num>
            <m:r>
              <w:rPr>
                <w:rFonts w:ascii="Cambria Math" w:hAnsi="Cambria Math"/>
                <w:lang w:val="en-GB"/>
              </w:rPr>
              <m:t>1</m:t>
            </m:r>
          </m:num>
          <m:den>
            <m:r>
              <w:rPr>
                <w:rFonts w:ascii="Cambria Math" w:hAnsi="Cambria Math"/>
                <w:lang w:val="en-GB"/>
              </w:rPr>
              <m:t>T</m:t>
            </m:r>
          </m:den>
        </m:f>
        <m:r>
          <w:rPr>
            <w:rFonts w:ascii="Cambria Math" w:hAnsi="Cambria Math"/>
            <w:lang w:val="en-GB"/>
          </w:rPr>
          <m:t>ln</m:t>
        </m:r>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it</m:t>
                    </m:r>
                  </m:sub>
                </m:sSub>
              </m:num>
              <m:den>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i0</m:t>
                    </m:r>
                  </m:sub>
                </m:sSub>
              </m:den>
            </m:f>
          </m:e>
        </m:d>
        <m:r>
          <w:rPr>
            <w:rFonts w:ascii="Cambria Math" w:hAnsi="Cambria Math"/>
            <w:lang w:val="en-GB"/>
          </w:rPr>
          <m:t>=α+β*ln</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i0</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i</m:t>
            </m:r>
          </m:sub>
        </m:sSub>
      </m:oMath>
      <w:r w:rsidR="00577155" w:rsidRPr="00E54D02">
        <w:rPr>
          <w:lang w:val="en-GB"/>
        </w:rPr>
        <w:t xml:space="preserve">      </w:t>
      </w:r>
      <w:r w:rsidR="00577155" w:rsidRPr="00E54D02">
        <w:rPr>
          <w:lang w:val="en-GB"/>
        </w:rPr>
        <w:tab/>
      </w:r>
      <w:r w:rsidR="00577155" w:rsidRPr="00E54D02">
        <w:rPr>
          <w:lang w:val="en-GB"/>
        </w:rPr>
        <w:tab/>
      </w:r>
      <w:r w:rsidR="00577155" w:rsidRPr="00E54D02">
        <w:rPr>
          <w:lang w:val="en-GB"/>
        </w:rPr>
        <w:tab/>
      </w:r>
      <w:r w:rsidR="00577155" w:rsidRPr="00E54D02">
        <w:rPr>
          <w:lang w:val="en-GB"/>
        </w:rPr>
        <w:tab/>
      </w:r>
      <w:r w:rsidR="00577155" w:rsidRPr="00E54D02">
        <w:rPr>
          <w:lang w:val="en-GB"/>
        </w:rPr>
        <w:tab/>
      </w:r>
      <w:r w:rsidR="00577155" w:rsidRPr="00E54D02">
        <w:rPr>
          <w:lang w:val="en-GB"/>
        </w:rPr>
        <w:tab/>
      </w:r>
      <w:r w:rsidR="00577155" w:rsidRPr="00E54D02">
        <w:rPr>
          <w:lang w:val="en-GB"/>
        </w:rPr>
        <w:tab/>
        <w:t xml:space="preserve">(1)  </w:t>
      </w:r>
    </w:p>
    <w:p w:rsidR="00577155" w:rsidRPr="00E54D02" w:rsidRDefault="00577155" w:rsidP="00E54D02">
      <w:pPr>
        <w:autoSpaceDE w:val="0"/>
        <w:autoSpaceDN w:val="0"/>
        <w:adjustRightInd w:val="0"/>
        <w:spacing w:line="360" w:lineRule="auto"/>
        <w:ind w:firstLine="426"/>
        <w:jc w:val="both"/>
        <w:rPr>
          <w:lang w:val="en-GB"/>
        </w:rPr>
      </w:pPr>
    </w:p>
    <w:p w:rsidR="00577155" w:rsidRPr="00E54D02" w:rsidRDefault="00577155" w:rsidP="00E54D02">
      <w:pPr>
        <w:autoSpaceDE w:val="0"/>
        <w:autoSpaceDN w:val="0"/>
        <w:adjustRightInd w:val="0"/>
        <w:spacing w:line="360" w:lineRule="auto"/>
        <w:jc w:val="both"/>
        <w:rPr>
          <w:lang w:val="en-GB"/>
        </w:rPr>
      </w:pPr>
      <w:r w:rsidRPr="00E54D02">
        <w:rPr>
          <w:lang w:val="en-GB"/>
        </w:rPr>
        <w:t>Kde levá strana rovnice vyjadřuje průměrný růst produktivity práce v období od počátečního bodu 0 do T, který je závislý na počáteční úrovni produktu (Y</w:t>
      </w:r>
      <w:r w:rsidRPr="00E54D02">
        <w:rPr>
          <w:vertAlign w:val="subscript"/>
          <w:lang w:val="en-GB"/>
        </w:rPr>
        <w:t>(i,0)</w:t>
      </w:r>
      <w:r w:rsidRPr="00E54D02">
        <w:rPr>
          <w:lang w:val="en-GB"/>
        </w:rPr>
        <w:t>), i označuje číslo pozorování (zemí), T je celkový počet let sledovaného období, α je konstanta, β je koeficient a μ</w:t>
      </w:r>
      <w:r w:rsidRPr="00E54D02">
        <w:rPr>
          <w:vertAlign w:val="subscript"/>
          <w:lang w:val="en-GB"/>
        </w:rPr>
        <w:t>i</w:t>
      </w:r>
      <w:r w:rsidRPr="00E54D02">
        <w:rPr>
          <w:lang w:val="en-GB"/>
        </w:rPr>
        <w:t xml:space="preserve"> je náhodná složka. Β-konvergence nastává, když je sklon přímky beta záporný.</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color w:val="292C2E"/>
        </w:rPr>
        <w:t>Sigma konvergence</w:t>
      </w:r>
    </w:p>
    <w:p w:rsidR="00577155" w:rsidRPr="00E54D02" w:rsidRDefault="00577155" w:rsidP="00E54D02">
      <w:pPr>
        <w:spacing w:line="360" w:lineRule="auto"/>
        <w:rPr>
          <w:color w:val="292C2E"/>
        </w:rPr>
      </w:pPr>
    </w:p>
    <w:p w:rsidR="00577155" w:rsidRPr="00E54D02" w:rsidRDefault="00577155" w:rsidP="00E54D02">
      <w:pPr>
        <w:spacing w:line="360" w:lineRule="auto"/>
        <w:jc w:val="both"/>
        <w:rPr>
          <w:color w:val="292C2E"/>
        </w:rPr>
      </w:pPr>
      <w:r w:rsidRPr="00E54D02">
        <w:rPr>
          <w:color w:val="292C2E"/>
        </w:rPr>
        <w:lastRenderedPageBreak/>
        <w:t>Barro a Sala-i-Martin (1992) o σ-konvergenci se hovoří, pokud rozptyl příjmů na obyvatele (nebo pracovníka) v jednotlivých zemích, měřený nějakou vhodnou mírou rozptylu, vykazuje v čase klesající tendenci.  σ-konvergence vychází také z neoklasického pojetí ekonomického růstu, kdy všechny státy konvergují ke stejné úrovni ekonomického rozvoje nebo ke stejné ekonomické výkonnosti. Jako relativní míra rozptylu se používá variační koeficient c</w:t>
      </w:r>
      <w:r w:rsidRPr="00E54D02">
        <w:rPr>
          <w:color w:val="292C2E"/>
          <w:vertAlign w:val="subscript"/>
        </w:rPr>
        <w:t>x,</w:t>
      </w:r>
      <w:r w:rsidRPr="00E54D02">
        <w:rPr>
          <w:color w:val="292C2E"/>
        </w:rPr>
        <w:t xml:space="preserve"> který je podílem směrodatné odchylky a aritmetického průměru dané sledované veličiny.</w:t>
      </w:r>
    </w:p>
    <w:p w:rsidR="00577155" w:rsidRPr="00E54D02" w:rsidRDefault="00663322" w:rsidP="00E54D02">
      <w:pPr>
        <w:autoSpaceDE w:val="0"/>
        <w:autoSpaceDN w:val="0"/>
        <w:adjustRightInd w:val="0"/>
        <w:spacing w:line="360" w:lineRule="auto"/>
        <w:jc w:val="both"/>
        <w:rPr>
          <w:lang w:val="en-GB"/>
        </w:rPr>
      </w:pP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x</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x</m:t>
                </m:r>
              </m:sub>
            </m:sSub>
          </m:num>
          <m:den>
            <m:acc>
              <m:accPr>
                <m:chr m:val="̅"/>
                <m:ctrlPr>
                  <w:rPr>
                    <w:rFonts w:ascii="Cambria Math" w:hAnsi="Cambria Math"/>
                    <w:i/>
                    <w:lang w:val="en-GB"/>
                  </w:rPr>
                </m:ctrlPr>
              </m:accPr>
              <m:e>
                <m:r>
                  <w:rPr>
                    <w:rFonts w:ascii="Cambria Math" w:hAnsi="Cambria Math"/>
                    <w:lang w:val="en-GB"/>
                  </w:rPr>
                  <m:t>x</m:t>
                </m:r>
              </m:e>
            </m:acc>
          </m:den>
        </m:f>
      </m:oMath>
      <w:r w:rsidR="00577155" w:rsidRPr="00E54D02">
        <w:rPr>
          <w:lang w:val="en-GB"/>
        </w:rPr>
        <w:t>,</w:t>
      </w:r>
      <w:r w:rsidR="00577155" w:rsidRPr="00E54D02">
        <w:rPr>
          <w:lang w:val="en-GB"/>
        </w:rPr>
        <w:tab/>
        <w:t>where</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x</m:t>
            </m:r>
          </m:sub>
        </m:sSub>
        <m:r>
          <w:rPr>
            <w:rFonts w:ascii="Cambria Math" w:hAnsi="Cambria Math"/>
            <w:lang w:val="en-GB"/>
          </w:rPr>
          <m:t>=</m:t>
        </m:r>
        <m:rad>
          <m:radPr>
            <m:degHide m:val="1"/>
            <m:ctrlPr>
              <w:rPr>
                <w:rFonts w:ascii="Cambria Math" w:hAnsi="Cambria Math"/>
                <w:i/>
                <w:lang w:val="en-GB"/>
              </w:rPr>
            </m:ctrlPr>
          </m:radPr>
          <m:deg/>
          <m:e>
            <m:f>
              <m:fPr>
                <m:ctrlPr>
                  <w:rPr>
                    <w:rFonts w:ascii="Cambria Math" w:hAnsi="Cambria Math"/>
                    <w:i/>
                    <w:lang w:val="en-GB"/>
                  </w:rPr>
                </m:ctrlPr>
              </m:fPr>
              <m:num>
                <m:nary>
                  <m:naryPr>
                    <m:chr m:val="∑"/>
                    <m:limLoc m:val="undOvr"/>
                    <m:ctrlPr>
                      <w:rPr>
                        <w:rFonts w:ascii="Cambria Math" w:hAnsi="Cambria Math"/>
                        <w:i/>
                        <w:lang w:val="en-GB"/>
                      </w:rPr>
                    </m:ctrlPr>
                  </m:naryPr>
                  <m:sub>
                    <m:r>
                      <w:rPr>
                        <w:rFonts w:ascii="Cambria Math" w:hAnsi="Cambria Math"/>
                        <w:lang w:val="en-GB"/>
                      </w:rPr>
                      <m:t>i=1</m:t>
                    </m:r>
                  </m:sub>
                  <m:sup>
                    <m:r>
                      <w:rPr>
                        <w:rFonts w:ascii="Cambria Math" w:hAnsi="Cambria Math"/>
                        <w:lang w:val="en-GB"/>
                      </w:rPr>
                      <m:t>n</m:t>
                    </m:r>
                  </m:sup>
                  <m:e>
                    <m:sSup>
                      <m:sSupPr>
                        <m:ctrlPr>
                          <w:rPr>
                            <w:rFonts w:ascii="Cambria Math" w:hAnsi="Cambria Math"/>
                            <w:i/>
                            <w:lang w:val="en-GB"/>
                          </w:rPr>
                        </m:ctrlPr>
                      </m:sSupPr>
                      <m:e>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acc>
                              <m:accPr>
                                <m:chr m:val="̅"/>
                                <m:ctrlPr>
                                  <w:rPr>
                                    <w:rFonts w:ascii="Cambria Math" w:hAnsi="Cambria Math"/>
                                    <w:i/>
                                    <w:lang w:val="en-GB"/>
                                  </w:rPr>
                                </m:ctrlPr>
                              </m:accPr>
                              <m:e>
                                <m:r>
                                  <w:rPr>
                                    <w:rFonts w:ascii="Cambria Math" w:hAnsi="Cambria Math"/>
                                    <w:lang w:val="en-GB"/>
                                  </w:rPr>
                                  <m:t>x</m:t>
                                </m:r>
                              </m:e>
                            </m:acc>
                          </m:e>
                        </m:d>
                      </m:e>
                      <m:sup>
                        <m:r>
                          <w:rPr>
                            <w:rFonts w:ascii="Cambria Math" w:hAnsi="Cambria Math"/>
                            <w:lang w:val="en-GB"/>
                          </w:rPr>
                          <m:t>2</m:t>
                        </m:r>
                      </m:sup>
                    </m:sSup>
                  </m:e>
                </m:nary>
              </m:num>
              <m:den>
                <m:r>
                  <w:rPr>
                    <w:rFonts w:ascii="Cambria Math" w:hAnsi="Cambria Math"/>
                    <w:lang w:val="en-GB"/>
                  </w:rPr>
                  <m:t>n</m:t>
                </m:r>
              </m:den>
            </m:f>
          </m:e>
        </m:rad>
      </m:oMath>
      <w:r w:rsidR="00577155" w:rsidRPr="00E54D02">
        <w:rPr>
          <w:lang w:val="en-GB"/>
        </w:rPr>
        <w:t xml:space="preserve"> .</w:t>
      </w:r>
      <w:r w:rsidR="00577155" w:rsidRPr="00E54D02">
        <w:rPr>
          <w:lang w:val="en-GB"/>
        </w:rPr>
        <w:tab/>
      </w:r>
      <w:r w:rsidR="00577155" w:rsidRPr="00E54D02">
        <w:rPr>
          <w:lang w:val="en-GB"/>
        </w:rPr>
        <w:tab/>
      </w:r>
      <w:r w:rsidR="00577155" w:rsidRPr="00E54D02">
        <w:rPr>
          <w:lang w:val="en-GB"/>
        </w:rPr>
        <w:tab/>
      </w:r>
      <w:r w:rsidR="00577155" w:rsidRPr="00E54D02">
        <w:rPr>
          <w:lang w:val="en-GB"/>
        </w:rPr>
        <w:tab/>
      </w:r>
      <w:r w:rsidR="00577155" w:rsidRPr="00E54D02">
        <w:rPr>
          <w:lang w:val="en-GB"/>
        </w:rPr>
        <w:tab/>
        <w:t xml:space="preserve">          (2)</w:t>
      </w:r>
    </w:p>
    <w:p w:rsidR="00577155" w:rsidRPr="00E54D02" w:rsidRDefault="00577155" w:rsidP="00E54D02">
      <w:pPr>
        <w:autoSpaceDE w:val="0"/>
        <w:autoSpaceDN w:val="0"/>
        <w:adjustRightInd w:val="0"/>
        <w:spacing w:line="360" w:lineRule="auto"/>
        <w:jc w:val="both"/>
        <w:rPr>
          <w:lang w:val="en-GB"/>
        </w:rPr>
      </w:pPr>
      <w:r w:rsidRPr="00E54D02">
        <w:rPr>
          <w:lang w:val="en-GB"/>
        </w:rPr>
        <w:tab/>
      </w:r>
      <w:r w:rsidRPr="00E54D02">
        <w:rPr>
          <w:lang w:val="en-GB"/>
        </w:rPr>
        <w:tab/>
      </w:r>
      <w:r w:rsidRPr="00E54D02">
        <w:rPr>
          <w:lang w:val="en-GB"/>
        </w:rPr>
        <w:tab/>
      </w:r>
    </w:p>
    <w:p w:rsidR="00577155" w:rsidRPr="00E54D02" w:rsidRDefault="00577155" w:rsidP="00E54D02">
      <w:pPr>
        <w:spacing w:line="360" w:lineRule="auto"/>
        <w:jc w:val="both"/>
        <w:rPr>
          <w:color w:val="292C2E"/>
        </w:rPr>
      </w:pPr>
      <w:r w:rsidRPr="00E54D02">
        <w:rPr>
          <w:color w:val="292C2E"/>
        </w:rPr>
        <w:t xml:space="preserve">Ke σ konvergenci dochází, pokud se koeficient rozptylu ekonomických úrovní jednotlivých zemí v čase snižuje. Při definici na absolutních rozdílech, například (Slavík, 2007), je existence β -konvergence nutnou podmínkou pro σ -konvergenci(Volek, et. </w:t>
      </w:r>
      <w:proofErr w:type="gramStart"/>
      <w:r w:rsidRPr="00E54D02">
        <w:rPr>
          <w:color w:val="292C2E"/>
        </w:rPr>
        <w:t>al</w:t>
      </w:r>
      <w:proofErr w:type="gramEnd"/>
      <w:r w:rsidRPr="00E54D02">
        <w:rPr>
          <w:color w:val="292C2E"/>
        </w:rPr>
        <w:t>. 2018). Tento vztah však nemusí platit naopak (</w:t>
      </w:r>
      <w:r w:rsidRPr="00E54D02">
        <w:t xml:space="preserve">(Hančlová et. </w:t>
      </w:r>
      <w:proofErr w:type="gramStart"/>
      <w:r w:rsidRPr="00E54D02">
        <w:t>al</w:t>
      </w:r>
      <w:proofErr w:type="gramEnd"/>
      <w:r w:rsidRPr="00E54D02">
        <w:t xml:space="preserve">. 2010). </w:t>
      </w:r>
      <w:r w:rsidRPr="00E54D02">
        <w:rPr>
          <w:color w:val="292C2E"/>
        </w:rPr>
        <w:t xml:space="preserve">Zjednodušeně lze sigmu konvergenci matematicky zapsat pomocí vztahu  který porovnává rozptyl </w:t>
      </w:r>
      <w:proofErr w:type="gramStart"/>
      <w:r w:rsidRPr="00E54D02">
        <w:rPr>
          <w:color w:val="292C2E"/>
        </w:rPr>
        <w:t>proměnné u za</w:t>
      </w:r>
      <w:proofErr w:type="gramEnd"/>
      <w:r w:rsidRPr="00E54D02">
        <w:rPr>
          <w:color w:val="292C2E"/>
        </w:rPr>
        <w:t xml:space="preserve"> dvě období.  Pomocí vzorce lze sigma konvergence může vyjádřit takto:</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rFonts w:ascii="Cambria Math" w:hAnsi="Cambria Math" w:cs="Cambria Math"/>
          <w:color w:val="292C2E"/>
        </w:rPr>
        <w:t>𝜎</w:t>
      </w:r>
      <w:r w:rsidRPr="00E54D02">
        <w:rPr>
          <w:color w:val="292C2E"/>
        </w:rPr>
        <w:t xml:space="preserve"> </w:t>
      </w:r>
      <w:r w:rsidRPr="00E54D02">
        <w:rPr>
          <w:rFonts w:ascii="Cambria Math" w:hAnsi="Cambria Math" w:cs="Cambria Math"/>
          <w:color w:val="292C2E"/>
        </w:rPr>
        <w:t>𝑢</w:t>
      </w:r>
      <w:r w:rsidRPr="00E54D02">
        <w:rPr>
          <w:color w:val="292C2E"/>
        </w:rPr>
        <w:t xml:space="preserve"> &gt; </w:t>
      </w:r>
      <w:r w:rsidRPr="00E54D02">
        <w:rPr>
          <w:rFonts w:ascii="Cambria Math" w:hAnsi="Cambria Math" w:cs="Cambria Math"/>
          <w:color w:val="292C2E"/>
        </w:rPr>
        <w:t>𝜎</w:t>
      </w:r>
      <w:r w:rsidRPr="00E54D02">
        <w:rPr>
          <w:color w:val="292C2E"/>
        </w:rPr>
        <w:t xml:space="preserve"> </w:t>
      </w:r>
      <w:r w:rsidRPr="00E54D02">
        <w:rPr>
          <w:rFonts w:ascii="Cambria Math" w:hAnsi="Cambria Math" w:cs="Cambria Math"/>
          <w:color w:val="292C2E"/>
        </w:rPr>
        <w:t>𝑢</w:t>
      </w:r>
      <w:r w:rsidRPr="00E54D02">
        <w:rPr>
          <w:color w:val="292C2E"/>
        </w:rPr>
        <w:t>+1</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color w:val="292C2E"/>
        </w:rPr>
        <w:t>V případě, úpravy na ex post stuaci by sigma konvergence vypadala následovně.</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rFonts w:ascii="Cambria Math" w:hAnsi="Cambria Math" w:cs="Cambria Math"/>
          <w:color w:val="292C2E"/>
        </w:rPr>
        <w:t>𝜎</w:t>
      </w:r>
      <w:r w:rsidRPr="00E54D02">
        <w:rPr>
          <w:color w:val="292C2E"/>
        </w:rPr>
        <w:t xml:space="preserve"> </w:t>
      </w:r>
      <w:r w:rsidRPr="00E54D02">
        <w:rPr>
          <w:rFonts w:ascii="Cambria Math" w:hAnsi="Cambria Math" w:cs="Cambria Math"/>
          <w:color w:val="292C2E"/>
        </w:rPr>
        <w:t>𝑢</w:t>
      </w:r>
      <w:r w:rsidRPr="00E54D02">
        <w:rPr>
          <w:color w:val="292C2E"/>
        </w:rPr>
        <w:t xml:space="preserve">−1 &gt; </w:t>
      </w:r>
      <w:r w:rsidRPr="00E54D02">
        <w:rPr>
          <w:rFonts w:ascii="Cambria Math" w:hAnsi="Cambria Math" w:cs="Cambria Math"/>
          <w:color w:val="292C2E"/>
        </w:rPr>
        <w:t>𝜎</w:t>
      </w:r>
      <w:r w:rsidRPr="00E54D02">
        <w:rPr>
          <w:color w:val="292C2E"/>
        </w:rPr>
        <w:t xml:space="preserve"> </w:t>
      </w:r>
      <w:r w:rsidRPr="00E54D02">
        <w:rPr>
          <w:rFonts w:ascii="Cambria Math" w:hAnsi="Cambria Math" w:cs="Cambria Math"/>
          <w:color w:val="292C2E"/>
        </w:rPr>
        <w:t>𝑢</w:t>
      </w:r>
      <w:r w:rsidRPr="00E54D02">
        <w:rPr>
          <w:color w:val="292C2E"/>
        </w:rPr>
        <w:t xml:space="preserve"> </w:t>
      </w:r>
    </w:p>
    <w:p w:rsidR="00577155" w:rsidRPr="00E54D02" w:rsidRDefault="00577155" w:rsidP="00E54D02">
      <w:pPr>
        <w:spacing w:line="360" w:lineRule="auto"/>
        <w:rPr>
          <w:color w:val="292C2E"/>
        </w:rPr>
      </w:pPr>
    </w:p>
    <w:p w:rsidR="00577155" w:rsidRPr="00E54D02" w:rsidRDefault="00577155" w:rsidP="00E54D02">
      <w:pPr>
        <w:spacing w:line="360" w:lineRule="auto"/>
        <w:jc w:val="both"/>
        <w:rPr>
          <w:color w:val="292C2E"/>
        </w:rPr>
      </w:pPr>
      <w:r w:rsidRPr="00E54D02">
        <w:rPr>
          <w:color w:val="292C2E"/>
        </w:rPr>
        <w:t>Sigma konvergence je sestrojena pro získání doplňujících informací o vývoji</w:t>
      </w:r>
    </w:p>
    <w:p w:rsidR="00577155" w:rsidRPr="00E54D02" w:rsidRDefault="00577155" w:rsidP="00E54D02">
      <w:pPr>
        <w:spacing w:line="360" w:lineRule="auto"/>
        <w:jc w:val="both"/>
        <w:rPr>
          <w:color w:val="292C2E"/>
        </w:rPr>
      </w:pPr>
      <w:r w:rsidRPr="00E54D02">
        <w:rPr>
          <w:color w:val="292C2E"/>
        </w:rPr>
        <w:t>konvergence v čase. Je to informace, kterou beta konvergence není schopná poskytnout. Z toho vyplývá i jejich vztah. Při existenci sigma konvergence logicky nastává i beta konvergence, ale nefunguje to naopak. Pokud v čase dochází k poklesu variability hodnot proměnných, tak se jedná o sigma konvergenci (</w:t>
      </w:r>
      <w:r w:rsidRPr="00E54D02">
        <w:t>(Nevima a Melecký, 2011).</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color w:val="292C2E"/>
        </w:rPr>
        <w:t>Makrokonvergence a Mikrokonvergence</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p>
    <w:p w:rsidR="00577155" w:rsidRPr="00E54D02" w:rsidRDefault="00577155" w:rsidP="00E54D02">
      <w:pPr>
        <w:spacing w:line="360" w:lineRule="auto"/>
        <w:jc w:val="both"/>
        <w:rPr>
          <w:color w:val="292C2E"/>
        </w:rPr>
      </w:pPr>
      <w:r w:rsidRPr="00E54D02">
        <w:rPr>
          <w:color w:val="292C2E"/>
        </w:rPr>
        <w:t>Ekonomickou konvergenci lze rozdělit z hlediska zaměření na dvě základní  kategorie a to na makrokonvergneci a mikrokonvergenci.</w:t>
      </w:r>
    </w:p>
    <w:p w:rsidR="00577155" w:rsidRPr="00E54D02" w:rsidRDefault="00577155" w:rsidP="00E54D02">
      <w:pPr>
        <w:spacing w:line="360" w:lineRule="auto"/>
        <w:jc w:val="both"/>
        <w:rPr>
          <w:color w:val="292C2E"/>
        </w:rPr>
      </w:pPr>
    </w:p>
    <w:p w:rsidR="00577155" w:rsidRPr="00E54D02" w:rsidRDefault="00577155" w:rsidP="00E54D02">
      <w:pPr>
        <w:spacing w:line="360" w:lineRule="auto"/>
        <w:jc w:val="both"/>
        <w:rPr>
          <w:color w:val="292C2E"/>
        </w:rPr>
      </w:pPr>
      <w:r w:rsidRPr="00E54D02">
        <w:rPr>
          <w:color w:val="292C2E"/>
        </w:rPr>
        <w:t xml:space="preserve"> Makronvergence se zaměřuje na agregované proměnné např. HDP na hlavu. Naopak mikrokonvergence se zabývá jednotlivými činiteli napříč ekonomickými činnosti </w:t>
      </w:r>
      <w:r w:rsidRPr="00E54D02">
        <w:rPr>
          <w:color w:val="222222"/>
          <w:shd w:val="clear" w:color="auto" w:fill="FFFFFF"/>
        </w:rPr>
        <w:t xml:space="preserve">Rassekh, F. (1998). </w:t>
      </w:r>
      <w:proofErr w:type="gramStart"/>
      <w:r w:rsidRPr="00E54D02">
        <w:rPr>
          <w:color w:val="222222"/>
          <w:shd w:val="clear" w:color="auto" w:fill="FFFFFF"/>
        </w:rPr>
        <w:t>např.</w:t>
      </w:r>
      <w:proofErr w:type="gramEnd"/>
      <w:r w:rsidRPr="00E54D02">
        <w:rPr>
          <w:color w:val="222222"/>
          <w:shd w:val="clear" w:color="auto" w:fill="FFFFFF"/>
        </w:rPr>
        <w:t xml:space="preserve"> k</w:t>
      </w:r>
      <w:r w:rsidRPr="00E54D02">
        <w:rPr>
          <w:color w:val="292C2E"/>
        </w:rPr>
        <w:t xml:space="preserve">onvergenci v rámci cen výrobních faktorů či cen statků a služeb mezi státy EU (Fischer 2012).  Konvergenci nevidíme ve všech zemích. Ke konvergenci dochází zejména mezi státy, které  mají pevnou infrastrukturu, stabilní politické prostředí a  kvalitní vzdělávací systémem vzdělání a to z důvodu, aby tyto státy mohly využívat technologický pokrok k zvyšování jejich výrobních kapacit. Naopak se myšlenka konvergence nevztahuje na státy, kterým uvedené podmínky chybí.  Teoretické základy konvergence tedy myšlenky, že chudší bohaté země dohánějí, vycházejí ze dvou důvodů přístupů: neoklasický přístup ke konvergenci (prohlubování kapitálu) a technologické dohánění. </w:t>
      </w:r>
    </w:p>
    <w:p w:rsidR="00577155" w:rsidRPr="00E54D02" w:rsidRDefault="00577155" w:rsidP="00E54D02">
      <w:pPr>
        <w:spacing w:line="360" w:lineRule="auto"/>
        <w:jc w:val="both"/>
        <w:rPr>
          <w:b/>
          <w:bCs/>
          <w:color w:val="292C2E"/>
        </w:rPr>
      </w:pPr>
      <w:r w:rsidRPr="00E54D02">
        <w:rPr>
          <w:color w:val="292C2E"/>
        </w:rPr>
        <w:t xml:space="preserve">Neoklasické dohánění se vztahuje k Solowově modelu (1957). Ústřední myšlenka spočívá v tom, že klesající návratnost investic zpomaluje tempo růstu země, když se blíží ustálenému stavu. Znamená to, že bohatší ekonomiky rostou pomaleji než chudší. Hlavním aspektem tohoto přístupu je předpoklad, že všechny země zavádějí technologie stejným tempem. V důsledku toho znamená, že všechny rozdíly v tempech růstu zemí závisí na vzdálenosti zemí od společného stálého stavu a na míře poklesu návratnosti kapitálu. Alternativní přístup předpokládá, že proces dohánění by měl nastat, protože chudší země mají schopnosti snadno napodobovat a přejímat technologie z více rozvinutých zemí. Tento přístup vychází z předpokladu rozdílné technologické úrovně a růstu mezi jednotlivými zeměmi. Chudé země se potýkají s obrovskou technologickou mezerou a v závislosti na jejich absorpčních schopnostech mohou růst rychleji.  Navzdory významnému rozdílu v předpokladech mezi oběma konvergenčními mechanismy je obtížné empiricky oddělit technologický pokrok od prohlubování kapitálu </w:t>
      </w:r>
      <w:r w:rsidRPr="00E54D02">
        <w:t>(Mlynarzewska-Borowiec, 2017)</w:t>
      </w:r>
      <w:r w:rsidRPr="00E54D02">
        <w:rPr>
          <w:color w:val="292C2E"/>
        </w:rPr>
        <w:t>.</w:t>
      </w:r>
    </w:p>
    <w:p w:rsidR="00577155" w:rsidRPr="00E54D02" w:rsidRDefault="00577155" w:rsidP="00E54D02">
      <w:pPr>
        <w:spacing w:line="360" w:lineRule="auto"/>
        <w:rPr>
          <w:color w:val="292C2E"/>
        </w:rPr>
      </w:pPr>
    </w:p>
    <w:p w:rsidR="00577155" w:rsidRPr="00E54D02" w:rsidRDefault="00577155" w:rsidP="00E54D02">
      <w:pPr>
        <w:spacing w:line="360" w:lineRule="auto"/>
        <w:jc w:val="both"/>
        <w:rPr>
          <w:color w:val="292C2E"/>
        </w:rPr>
      </w:pPr>
      <w:r w:rsidRPr="00E54D02">
        <w:rPr>
          <w:color w:val="292C2E"/>
        </w:rPr>
        <w:t xml:space="preserve">Podle Iancu, A. (2007)  existují tři způsoby, jak chápat makrokonvergenci. První způsob považuje skutečnou konvergenci za přirozený proces založený výhradně na tržních silách. Čím funkčnější a méně deformovaný je trh, tím bezpečnější a rychlejší je konvergence.  Druhý způsob vychází z </w:t>
      </w:r>
      <w:proofErr w:type="gramStart"/>
      <w:r w:rsidRPr="00E54D02">
        <w:rPr>
          <w:color w:val="292C2E"/>
        </w:rPr>
        <w:t>konvergenci</w:t>
      </w:r>
      <w:proofErr w:type="gramEnd"/>
      <w:r w:rsidRPr="00E54D02">
        <w:rPr>
          <w:color w:val="292C2E"/>
        </w:rPr>
        <w:t xml:space="preserve"> mezi chudými zeměmi a zeměmi bohatými. Třetí způsob považuje konvergenci za nutnou a možnou v konkurenčním prostředí.  Předpokládá, že na konkurenčním trhu jsou realizovány hospodářské politiky, které jsou schopny kompenzovat negativní vlivy konkurenčního trhu.</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color w:val="292C2E"/>
        </w:rPr>
        <w:t xml:space="preserve">Mikronvergence </w:t>
      </w:r>
    </w:p>
    <w:p w:rsidR="00577155" w:rsidRPr="00E54D02" w:rsidRDefault="00577155" w:rsidP="00E54D02">
      <w:pPr>
        <w:spacing w:line="360" w:lineRule="auto"/>
        <w:jc w:val="both"/>
        <w:rPr>
          <w:color w:val="292C2E"/>
        </w:rPr>
      </w:pPr>
      <w:r w:rsidRPr="00E54D02">
        <w:rPr>
          <w:color w:val="292C2E"/>
        </w:rPr>
        <w:lastRenderedPageBreak/>
        <w:t>Analýza konvergence se obvykle využívá z </w:t>
      </w:r>
      <w:proofErr w:type="gramStart"/>
      <w:r w:rsidRPr="00E54D02">
        <w:rPr>
          <w:color w:val="292C2E"/>
        </w:rPr>
        <w:t>makroekonomické</w:t>
      </w:r>
      <w:proofErr w:type="gramEnd"/>
      <w:r w:rsidRPr="00E54D02">
        <w:rPr>
          <w:color w:val="292C2E"/>
        </w:rPr>
        <w:t xml:space="preserve"> hlediska, kdy se rozbory provádějí na požadované agregátní úrovni státu či regionu.  Nicméně  často se ukazuje, že je třeba získat další informace, které mohou být skryty na mikroúrovni. Konvergence na mikroúrovni zabývá empirickými analýzami na úrovni  odvětví či  firem.  Výběr vhodné úrovně pro analýzu konvergence je důležitý jak z teoretického hlediska, tak z hlediska i empirického hlediska. Na jedné straně může být agregátní analýza problematická. Vztahy odhadované na úrovni agregátní úrovni nelze vždy interpretovat jako reprezentativní pro vztahy na mikroúrovni. Také v případě určení vhodné agregátní úrovně analýzy se objevují problémy možného zkreslení. </w:t>
      </w:r>
      <w:r w:rsidRPr="00E54D02">
        <w:t xml:space="preserve"> </w:t>
      </w:r>
      <w:r w:rsidRPr="00E54D02">
        <w:rPr>
          <w:color w:val="292C2E"/>
        </w:rPr>
        <w:t xml:space="preserve">Na druhou stranu dezagregovaná analýza neumožňuje vyvozovat závěry o konvergenci na makroúrovni, která je často hlavní úrovní zájmu, a může vést ke zkresleným odhadům. Určitým problémem může být i interakce mezi jednotlivými úrovněmi na mikro a makroúrovni. Vhodná se  směru může víceúrovňová analýza, která představuje užitečnou metodu, které umožňuje odhadnout konvergenci na mikroúrovni i makroúrovni, aniž by se ignorovala jejich vzájemná interakce </w:t>
      </w:r>
      <w:r w:rsidRPr="00E54D02">
        <w:t xml:space="preserve">(Fazio &amp; Piacentino, 2011). </w:t>
      </w:r>
      <w:r w:rsidRPr="00E54D02">
        <w:rPr>
          <w:color w:val="292C2E"/>
        </w:rPr>
        <w:t xml:space="preserve">  </w:t>
      </w:r>
    </w:p>
    <w:p w:rsidR="00577155" w:rsidRPr="00E54D02" w:rsidRDefault="00577155" w:rsidP="00E54D02">
      <w:pPr>
        <w:spacing w:line="360" w:lineRule="auto"/>
        <w:jc w:val="both"/>
        <w:rPr>
          <w:color w:val="292C2E"/>
        </w:rPr>
      </w:pPr>
    </w:p>
    <w:p w:rsidR="00577155" w:rsidRPr="00E54D02" w:rsidRDefault="00577155" w:rsidP="00E54D02">
      <w:pPr>
        <w:spacing w:line="360" w:lineRule="auto"/>
        <w:jc w:val="both"/>
        <w:rPr>
          <w:color w:val="292C2E"/>
        </w:rPr>
      </w:pPr>
      <w:r w:rsidRPr="00E54D02">
        <w:t xml:space="preserve">Dle </w:t>
      </w:r>
      <w:proofErr w:type="gramStart"/>
      <w:r w:rsidRPr="00E54D02">
        <w:t>Crespi</w:t>
      </w:r>
      <w:proofErr w:type="gramEnd"/>
      <w:r w:rsidRPr="00E54D02">
        <w:t xml:space="preserve"> &amp; Iacovone (2010) je klíčovým zjištěním v podnikové analýze,</w:t>
      </w:r>
      <w:r w:rsidRPr="00E54D02">
        <w:rPr>
          <w:color w:val="292C2E"/>
        </w:rPr>
        <w:t xml:space="preserve"> že rozdíly v produktivitě mezi podniky, a to i podle velmi úzké průmyslové klasifikace, jsou všudypřítomné a přetrvávají. Toto zjištění do jisté míry zpochybňuje způsob, jakým uvažujeme o hospodářském růstu, tj. jako o růstu  v němž se podniky vyvíjí směrem k zavedenému a stabilnímu stavu. Naopak podtrhují vliv heterogenity v delším časovém horizontu </w:t>
      </w:r>
      <w:r w:rsidRPr="00E54D02">
        <w:t>(Crespi &amp; Iacovone, 2010)</w:t>
      </w:r>
    </w:p>
    <w:p w:rsidR="00577155" w:rsidRPr="00E54D02" w:rsidRDefault="00577155" w:rsidP="00E54D02">
      <w:pPr>
        <w:spacing w:line="360" w:lineRule="auto"/>
        <w:jc w:val="both"/>
        <w:rPr>
          <w:color w:val="292C2E"/>
        </w:rPr>
      </w:pPr>
    </w:p>
    <w:p w:rsidR="00577155" w:rsidRPr="00E54D02" w:rsidRDefault="00577155" w:rsidP="00E54D02">
      <w:pPr>
        <w:spacing w:line="360" w:lineRule="auto"/>
        <w:jc w:val="both"/>
        <w:rPr>
          <w:color w:val="292C2E"/>
        </w:rPr>
      </w:pPr>
      <w:r w:rsidRPr="00E54D02">
        <w:rPr>
          <w:color w:val="292C2E"/>
        </w:rPr>
        <w:t>V literatuře zabývající se procesem konvergence a dohánění je tradičně</w:t>
      </w:r>
      <w:r w:rsidR="00F01E5B" w:rsidRPr="00E54D02">
        <w:rPr>
          <w:color w:val="292C2E"/>
        </w:rPr>
        <w:t xml:space="preserve"> </w:t>
      </w:r>
      <w:r w:rsidRPr="00E54D02">
        <w:rPr>
          <w:color w:val="292C2E"/>
        </w:rPr>
        <w:t xml:space="preserve">zaměřuje na agregátní jednotky, jako jsou země nebo regiony (Barro a </w:t>
      </w:r>
      <w:proofErr w:type="gramStart"/>
      <w:r w:rsidRPr="00E54D02">
        <w:rPr>
          <w:color w:val="292C2E"/>
        </w:rPr>
        <w:t>Sala-i-Martin,1991</w:t>
      </w:r>
      <w:proofErr w:type="gramEnd"/>
      <w:r w:rsidRPr="00E54D02">
        <w:rPr>
          <w:color w:val="292C2E"/>
        </w:rPr>
        <w:t>, 1992).</w:t>
      </w:r>
      <w:r w:rsidR="00F01E5B" w:rsidRPr="00E54D02">
        <w:rPr>
          <w:color w:val="292C2E"/>
        </w:rPr>
        <w:t xml:space="preserve">  </w:t>
      </w:r>
      <w:r w:rsidRPr="00E54D02">
        <w:rPr>
          <w:color w:val="292C2E"/>
        </w:rPr>
        <w:t>Růst v rozvojových zemích nezávisí na růstu v samotných vyspělých ekonomikách, ale na rozdílu v úrovni produktivity obou skupin zemí - jinými slovy na "konvergenční mezeře".  Rychlost, jakou zaostávající ekonomiky dohánějí, je dána jejich schopností absorbovat myšlenky a znalosti z technologicky vyspělejších států (Rodrik, 2011).</w:t>
      </w:r>
    </w:p>
    <w:p w:rsidR="00577155" w:rsidRPr="00E54D02" w:rsidRDefault="00577155" w:rsidP="00E54D02">
      <w:pPr>
        <w:spacing w:line="360" w:lineRule="auto"/>
        <w:rPr>
          <w:color w:val="292C2E"/>
        </w:rPr>
      </w:pPr>
    </w:p>
    <w:p w:rsidR="00F970CB" w:rsidRDefault="00F970CB" w:rsidP="00E54D02">
      <w:pPr>
        <w:spacing w:line="360" w:lineRule="auto"/>
        <w:rPr>
          <w:color w:val="292C2E"/>
        </w:rPr>
      </w:pPr>
    </w:p>
    <w:p w:rsidR="00546009" w:rsidRDefault="00546009" w:rsidP="00E54D02">
      <w:pPr>
        <w:spacing w:line="360" w:lineRule="auto"/>
        <w:rPr>
          <w:color w:val="292C2E"/>
        </w:rPr>
      </w:pPr>
    </w:p>
    <w:p w:rsidR="00546009" w:rsidRDefault="00546009" w:rsidP="00E54D02">
      <w:pPr>
        <w:spacing w:line="360" w:lineRule="auto"/>
        <w:rPr>
          <w:color w:val="292C2E"/>
        </w:rPr>
      </w:pPr>
    </w:p>
    <w:p w:rsidR="00546009" w:rsidRDefault="00546009" w:rsidP="00E54D02">
      <w:pPr>
        <w:spacing w:line="360" w:lineRule="auto"/>
        <w:rPr>
          <w:color w:val="292C2E"/>
        </w:rPr>
      </w:pPr>
    </w:p>
    <w:p w:rsidR="00546009" w:rsidRDefault="00546009" w:rsidP="00E54D02">
      <w:pPr>
        <w:spacing w:line="360" w:lineRule="auto"/>
        <w:rPr>
          <w:color w:val="292C2E"/>
        </w:rPr>
      </w:pPr>
    </w:p>
    <w:p w:rsidR="00546009" w:rsidRPr="00E54D02" w:rsidRDefault="00546009" w:rsidP="00E54D02">
      <w:pPr>
        <w:spacing w:line="360" w:lineRule="auto"/>
        <w:rPr>
          <w:color w:val="292C2E"/>
        </w:rPr>
      </w:pPr>
    </w:p>
    <w:p w:rsidR="00F970CB" w:rsidRPr="00E54D02" w:rsidRDefault="00F970CB" w:rsidP="00E54D02">
      <w:pPr>
        <w:spacing w:line="360" w:lineRule="auto"/>
        <w:rPr>
          <w:color w:val="292C2E"/>
        </w:rPr>
      </w:pPr>
      <w:r w:rsidRPr="00E54D02">
        <w:rPr>
          <w:color w:val="292C2E"/>
        </w:rPr>
        <w:t xml:space="preserve">Kovergence produktivity </w:t>
      </w:r>
    </w:p>
    <w:p w:rsidR="00F970CB" w:rsidRPr="00E54D02" w:rsidRDefault="00F970CB" w:rsidP="00E54D02">
      <w:pPr>
        <w:spacing w:line="360" w:lineRule="auto"/>
        <w:rPr>
          <w:color w:val="292C2E"/>
        </w:rPr>
      </w:pPr>
    </w:p>
    <w:p w:rsidR="00565123" w:rsidRPr="00E54D02" w:rsidRDefault="00565123" w:rsidP="00E54D02">
      <w:pPr>
        <w:spacing w:line="360" w:lineRule="auto"/>
        <w:jc w:val="both"/>
      </w:pPr>
      <w:r w:rsidRPr="00E54D02">
        <w:t>Teoretické základy myšlenky, že chudší bohaté země dohánějí, vycházejí ze dvou důvodů alternativních přístupů: neoklasický přístup ke konvergenci  a technologické dohánění. Neoklasické dohánění se vztahuje k Solowově modelu (1957).</w:t>
      </w:r>
    </w:p>
    <w:p w:rsidR="00565123" w:rsidRPr="00E54D02" w:rsidRDefault="00565123" w:rsidP="00E54D02">
      <w:pPr>
        <w:spacing w:line="360" w:lineRule="auto"/>
        <w:jc w:val="both"/>
      </w:pPr>
    </w:p>
    <w:p w:rsidR="00F970CB" w:rsidRPr="00E54D02" w:rsidRDefault="00F970CB" w:rsidP="00E54D02">
      <w:pPr>
        <w:spacing w:line="360" w:lineRule="auto"/>
        <w:jc w:val="both"/>
      </w:pPr>
      <w:r w:rsidRPr="00E54D02">
        <w:t>Konvergence produktivity práce  je klíčovou dynamickou podmínkou ekonomické integrace v rámci Evropské unie.  Výrazný exogenní šok  má různé důsledky v zemích s různou úrovní produktivity práce. Soudržnost EU je navíc založena na předpokladu, že zaostávající země budou v dlouhodobém horizontu postupně dohánět vyspělejší země (((Filippetti &amp; Payrache, 2010).</w:t>
      </w:r>
    </w:p>
    <w:p w:rsidR="00F970CB" w:rsidRPr="00E54D02" w:rsidRDefault="00F970CB" w:rsidP="00E54D02">
      <w:pPr>
        <w:spacing w:line="360" w:lineRule="auto"/>
        <w:jc w:val="both"/>
      </w:pPr>
      <w:r w:rsidRPr="00E54D02">
        <w:t xml:space="preserve">.  </w:t>
      </w:r>
    </w:p>
    <w:p w:rsidR="00F970CB" w:rsidRPr="00E54D02" w:rsidRDefault="00F970CB" w:rsidP="00E54D02">
      <w:pPr>
        <w:spacing w:line="360" w:lineRule="auto"/>
        <w:jc w:val="both"/>
      </w:pPr>
    </w:p>
    <w:p w:rsidR="00577155" w:rsidRPr="00E54D02" w:rsidRDefault="00B86D94" w:rsidP="00E54D02">
      <w:pPr>
        <w:spacing w:line="360" w:lineRule="auto"/>
        <w:rPr>
          <w:color w:val="292C2E"/>
        </w:rPr>
      </w:pPr>
      <w:r w:rsidRPr="00E54D02">
        <w:rPr>
          <w:color w:val="292C2E"/>
        </w:rPr>
        <w:t>Oblast analýzy</w:t>
      </w:r>
      <w:r w:rsidR="00D43684" w:rsidRPr="00E54D02">
        <w:rPr>
          <w:color w:val="292C2E"/>
        </w:rPr>
        <w:t xml:space="preserve"> dohánění a konvergence produktivity </w:t>
      </w:r>
      <w:r w:rsidRPr="00E54D02">
        <w:rPr>
          <w:color w:val="292C2E"/>
        </w:rPr>
        <w:t xml:space="preserve"> není sama o sobě novou</w:t>
      </w:r>
      <w:r w:rsidR="000F7D97" w:rsidRPr="00E54D02">
        <w:rPr>
          <w:color w:val="292C2E"/>
        </w:rPr>
        <w:t xml:space="preserve">. </w:t>
      </w:r>
      <w:r w:rsidRPr="00E54D02">
        <w:rPr>
          <w:color w:val="292C2E"/>
        </w:rPr>
        <w:t xml:space="preserve"> </w:t>
      </w:r>
    </w:p>
    <w:p w:rsidR="0066214A" w:rsidRPr="00E54D02" w:rsidRDefault="0066214A" w:rsidP="00E54D02">
      <w:pPr>
        <w:spacing w:line="360" w:lineRule="auto"/>
        <w:rPr>
          <w:color w:val="292C2E"/>
        </w:rPr>
      </w:pPr>
    </w:p>
    <w:p w:rsidR="00B86D94" w:rsidRPr="00E54D02" w:rsidRDefault="00B86D94" w:rsidP="00E54D02">
      <w:pPr>
        <w:spacing w:line="360" w:lineRule="auto"/>
        <w:rPr>
          <w:color w:val="292C2E"/>
        </w:rPr>
      </w:pPr>
    </w:p>
    <w:p w:rsidR="00B86D94" w:rsidRPr="00E54D02" w:rsidRDefault="00B86D94" w:rsidP="00E54D02">
      <w:pPr>
        <w:spacing w:line="360" w:lineRule="auto"/>
        <w:jc w:val="both"/>
        <w:rPr>
          <w:color w:val="292C2E"/>
        </w:rPr>
      </w:pPr>
      <w:r w:rsidRPr="00E54D02">
        <w:rPr>
          <w:color w:val="292C2E"/>
        </w:rPr>
        <w:t xml:space="preserve">Růst produktivity se již začal zpomalovat po globální finanční krizi a čelí nepříznivým vlivům krize COVID-19. Globální recese způsobená krizí COVID-19 probíhá v období zvýšené dluhové zranitelnosti, zatímco předchozí pandemie a jiné velké přírodní katastrofy byly spojeny s dlouhodobým poklesem růstu produktivity práce a investic. Ceny komodit se rovněž propadly, což zvýšilo negativní tlak na investice ve velkém počtu zemí závislých na komoditách </w:t>
      </w:r>
      <w:r w:rsidRPr="00E54D02">
        <w:t>(Kindberg-Hanlon &amp; Okou, 2021)</w:t>
      </w:r>
      <w:r w:rsidRPr="00E54D02">
        <w:rPr>
          <w:color w:val="292C2E"/>
        </w:rPr>
        <w:t>.</w:t>
      </w:r>
    </w:p>
    <w:p w:rsidR="00B86D94" w:rsidRPr="00E54D02" w:rsidRDefault="00B86D94" w:rsidP="00E54D02">
      <w:pPr>
        <w:spacing w:line="360" w:lineRule="auto"/>
        <w:rPr>
          <w:color w:val="292C2E"/>
        </w:rPr>
      </w:pPr>
    </w:p>
    <w:p w:rsidR="00F01E5B" w:rsidRPr="00E54D02" w:rsidRDefault="00F01E5B" w:rsidP="00E54D02">
      <w:pPr>
        <w:spacing w:line="360" w:lineRule="auto"/>
        <w:rPr>
          <w:color w:val="292C2E"/>
        </w:rPr>
      </w:pPr>
    </w:p>
    <w:p w:rsidR="00F01E5B" w:rsidRPr="00E54D02" w:rsidRDefault="00F01E5B" w:rsidP="00E54D02">
      <w:pPr>
        <w:spacing w:line="360" w:lineRule="auto"/>
        <w:rPr>
          <w:color w:val="292C2E"/>
        </w:rPr>
      </w:pPr>
    </w:p>
    <w:p w:rsidR="00F01E5B" w:rsidRPr="00E54D02" w:rsidRDefault="00F01E5B" w:rsidP="00E54D02">
      <w:pPr>
        <w:spacing w:line="360" w:lineRule="auto"/>
        <w:rPr>
          <w:color w:val="292C2E"/>
        </w:rPr>
      </w:pPr>
    </w:p>
    <w:p w:rsidR="00F01E5B" w:rsidRDefault="00BA6882" w:rsidP="00E54D02">
      <w:pPr>
        <w:spacing w:line="360" w:lineRule="auto"/>
        <w:rPr>
          <w:color w:val="292C2E"/>
        </w:rPr>
      </w:pPr>
      <w:r w:rsidRPr="00E54D02">
        <w:rPr>
          <w:color w:val="292C2E"/>
        </w:rPr>
        <w:t>M</w:t>
      </w:r>
      <w:r w:rsidR="00A435A3" w:rsidRPr="00E54D02">
        <w:rPr>
          <w:color w:val="292C2E"/>
        </w:rPr>
        <w:t>ezery v technologiích a produktivitě mohou v</w:t>
      </w:r>
      <w:r w:rsidRPr="00E54D02">
        <w:rPr>
          <w:color w:val="292C2E"/>
        </w:rPr>
        <w:t xml:space="preserve">ytvářet příležitosti pro dohánění </w:t>
      </w:r>
      <w:r w:rsidR="00A435A3" w:rsidRPr="00E54D02">
        <w:rPr>
          <w:color w:val="292C2E"/>
        </w:rPr>
        <w:t>rozvojových ekonomik (Lee, 2013)</w:t>
      </w:r>
      <w:r w:rsidRPr="00E54D02">
        <w:rPr>
          <w:color w:val="292C2E"/>
        </w:rPr>
        <w:t xml:space="preserve">. Důležitý aspetem tohoto efektu je jejich absorpční schopnost a její rozvoj. </w:t>
      </w:r>
    </w:p>
    <w:p w:rsidR="00075DAF" w:rsidRPr="00075DAF" w:rsidRDefault="00075DAF" w:rsidP="00075DAF">
      <w:pPr>
        <w:pStyle w:val="Default"/>
      </w:pPr>
      <w:r>
        <w:rPr>
          <w:color w:val="292C2E"/>
        </w:rPr>
        <w:t xml:space="preserve">Při zkoumání mezery v produktivitě se často sledují i další oblasti jako jsou </w:t>
      </w:r>
      <w:r w:rsidRPr="00075DAF">
        <w:rPr>
          <w:color w:val="292C2E"/>
        </w:rPr>
        <w:t>dynamiku trhu práce, a to zahrnutím mzdové křivky</w:t>
      </w:r>
      <w:r>
        <w:rPr>
          <w:color w:val="292C2E"/>
        </w:rPr>
        <w:t xml:space="preserve"> a dynamika</w:t>
      </w:r>
      <w:r w:rsidRPr="00075DAF">
        <w:rPr>
          <w:color w:val="292C2E"/>
        </w:rPr>
        <w:t xml:space="preserve"> nabídky práce</w:t>
      </w:r>
      <w:r>
        <w:rPr>
          <w:color w:val="292C2E"/>
        </w:rPr>
        <w:t xml:space="preserve"> (</w:t>
      </w:r>
      <w:r>
        <w:rPr>
          <w:sz w:val="21"/>
          <w:szCs w:val="21"/>
        </w:rPr>
        <w:t>Spinola</w:t>
      </w:r>
      <w:r>
        <w:rPr>
          <w:sz w:val="21"/>
          <w:szCs w:val="21"/>
        </w:rPr>
        <w:t>, 2020)</w:t>
      </w:r>
    </w:p>
    <w:p w:rsidR="00F01E5B" w:rsidRDefault="00F01E5B" w:rsidP="00E54D02">
      <w:pPr>
        <w:spacing w:line="360" w:lineRule="auto"/>
        <w:rPr>
          <w:color w:val="292C2E"/>
        </w:rPr>
      </w:pPr>
    </w:p>
    <w:p w:rsidR="00C020A6" w:rsidRDefault="00C020A6" w:rsidP="00E54D02">
      <w:pPr>
        <w:spacing w:line="360" w:lineRule="auto"/>
        <w:rPr>
          <w:color w:val="292C2E"/>
        </w:rPr>
      </w:pPr>
    </w:p>
    <w:p w:rsidR="00546009" w:rsidRPr="004503E3" w:rsidRDefault="00546009" w:rsidP="004503E3">
      <w:pPr>
        <w:spacing w:line="360" w:lineRule="auto"/>
        <w:jc w:val="both"/>
        <w:rPr>
          <w:color w:val="292C2E"/>
        </w:rPr>
      </w:pPr>
      <w:r w:rsidRPr="004503E3">
        <w:rPr>
          <w:color w:val="292C2E"/>
        </w:rPr>
        <w:lastRenderedPageBreak/>
        <w:t xml:space="preserve">Řada výzkumů, které se insporavaly klíčovými výzkumem  Solowa(1957) se řada výzkumů zaměřuje na porozumění procesu ekonomického růstu a konvergence (např. Romer, Baumol, Lucas či Levine). Hlavní otázkou při ananlýzách zůstává a to zda zda existuje tendence chudších zemí dobíhat bohaté. Pokud uvedenou situaci převedeme na oblast prouduktivity práce, je zde otázka  zda státy s nižší produktivitou bodou rychleji růstu než státy vyspělé s vyšší produktivitou pokud budou mít stejný přístu k techologiíím. </w:t>
      </w:r>
    </w:p>
    <w:p w:rsidR="004503E3" w:rsidRDefault="004503E3" w:rsidP="004503E3">
      <w:pPr>
        <w:spacing w:line="360" w:lineRule="auto"/>
        <w:jc w:val="both"/>
        <w:rPr>
          <w:color w:val="292C2E"/>
        </w:rPr>
      </w:pPr>
    </w:p>
    <w:p w:rsidR="00C020A6" w:rsidRDefault="00546009" w:rsidP="004503E3">
      <w:pPr>
        <w:spacing w:line="360" w:lineRule="auto"/>
        <w:jc w:val="both"/>
        <w:rPr>
          <w:color w:val="292C2E"/>
        </w:rPr>
      </w:pPr>
      <w:r w:rsidRPr="004503E3">
        <w:rPr>
          <w:color w:val="292C2E"/>
        </w:rPr>
        <w:t> </w:t>
      </w:r>
      <w:r w:rsidRPr="004503E3">
        <w:rPr>
          <w:color w:val="292C2E"/>
        </w:rPr>
        <w:t xml:space="preserve">Studie 53 států  AlKathiriho (2021) ukázala, že </w:t>
      </w:r>
      <w:r w:rsidRPr="004503E3">
        <w:rPr>
          <w:color w:val="292C2E"/>
        </w:rPr>
        <w:t>kumulace kapitálu je hlavní hybnou silou pozorované bezpodmínečné konvergence, zatímco technologické změny přispívají spíše k divergenci než ke konvergenci. </w:t>
      </w:r>
    </w:p>
    <w:p w:rsidR="00C020A6" w:rsidRDefault="00C020A6" w:rsidP="00E54D02">
      <w:pPr>
        <w:spacing w:line="360" w:lineRule="auto"/>
        <w:rPr>
          <w:color w:val="292C2E"/>
        </w:rPr>
      </w:pPr>
    </w:p>
    <w:p w:rsidR="00C020A6" w:rsidRDefault="00C020A6" w:rsidP="00E54D02">
      <w:pPr>
        <w:spacing w:line="360" w:lineRule="auto"/>
        <w:rPr>
          <w:color w:val="292C2E"/>
        </w:rPr>
      </w:pPr>
    </w:p>
    <w:p w:rsidR="004A3917" w:rsidRPr="008D2B3A" w:rsidRDefault="004A3917" w:rsidP="008D2B3A">
      <w:pPr>
        <w:spacing w:line="360" w:lineRule="auto"/>
        <w:jc w:val="both"/>
        <w:rPr>
          <w:color w:val="292C2E"/>
        </w:rPr>
      </w:pPr>
      <w:r w:rsidRPr="008D2B3A">
        <w:rPr>
          <w:color w:val="292C2E"/>
        </w:rPr>
        <w:t xml:space="preserve">Pokud technologie a znalosti volně proudí přes hranice, agregátní růst produktivity v méně vyspělých ekonomikách a firmách bude pozitivní funkcí růstu v těchto zemích. Jinak řečeno, ekonomiky a podniky zaostávající za globální hranicí mohou zlepšit svou produktivitu tím, že těžit z vedlejších účinků inovací na hranici a z přijetí technologií. To vytváří prostor pro určitou konvergenci produktivity mezi zeměmi, neboť ty  které začínají dále za globální hranicí, mohou růst relativně rychleji, protože mezní produktivita se může zvyšovat rychleji. Ve skutečnosti zavádění nových technologií v různých zemích se zpožďuje a tím dochází k rozdílům v dlouhodobé míře šíření technologií (McGowan 2015) což má následný vliv na produktivitu práce. </w:t>
      </w:r>
    </w:p>
    <w:p w:rsidR="00C020A6" w:rsidRDefault="00C020A6" w:rsidP="00E54D02">
      <w:pPr>
        <w:spacing w:line="360" w:lineRule="auto"/>
        <w:rPr>
          <w:color w:val="292C2E"/>
        </w:rPr>
      </w:pPr>
    </w:p>
    <w:p w:rsidR="004A3917" w:rsidRPr="00E54D02" w:rsidRDefault="004A3917" w:rsidP="004A3917">
      <w:pPr>
        <w:spacing w:line="360" w:lineRule="auto"/>
        <w:rPr>
          <w:color w:val="333333"/>
          <w:lang w:val="en-GB" w:eastAsia="en-GB"/>
        </w:rPr>
      </w:pPr>
      <w:r w:rsidRPr="00E54D02">
        <w:rPr>
          <w:color w:val="292C2E"/>
        </w:rPr>
        <w:t xml:space="preserve">Pochopení procesu dohánění je v centru úsilí rozvojových ekonomů od dob Solowa (1956). </w:t>
      </w:r>
    </w:p>
    <w:p w:rsidR="004A3917" w:rsidRPr="00E54D02" w:rsidRDefault="004A3917" w:rsidP="004A3917">
      <w:pPr>
        <w:shd w:val="clear" w:color="auto" w:fill="FFFFFF"/>
        <w:spacing w:after="360" w:line="360" w:lineRule="auto"/>
        <w:rPr>
          <w:color w:val="333333"/>
          <w:lang w:val="en-GB" w:eastAsia="en-GB"/>
        </w:rPr>
      </w:pPr>
      <w:r w:rsidRPr="00E54D02">
        <w:rPr>
          <w:color w:val="333333"/>
        </w:rPr>
        <w:t>Průmyslová politika by měla vzít v úvahu odvětvovou heterogenitu a rozdíly mezi severem a jihem, aby účinně zvýšila výkonnost produktivity.</w:t>
      </w:r>
      <w:r w:rsidRPr="00E54D02">
        <w:t xml:space="preserve"> (Castelnovo et al., 2020)</w:t>
      </w:r>
    </w:p>
    <w:p w:rsidR="00C020A6" w:rsidRDefault="004A3917" w:rsidP="00E54D02">
      <w:pPr>
        <w:spacing w:line="360" w:lineRule="auto"/>
        <w:rPr>
          <w:color w:val="292C2E"/>
        </w:rPr>
      </w:pPr>
      <w:r>
        <w:rPr>
          <w:color w:val="292C2E"/>
        </w:rPr>
        <w:t xml:space="preserve">Je tozkou zda odvětvová rozmanitost nepovede  v dlouhodobém horizontu k vyššímu rustu produktivity práce v průmyslu a tím ekonomické stabilitě. </w:t>
      </w:r>
    </w:p>
    <w:p w:rsidR="00F01E5B" w:rsidRPr="00E54D02" w:rsidRDefault="00F01E5B" w:rsidP="00E54D02">
      <w:pPr>
        <w:spacing w:line="360" w:lineRule="auto"/>
        <w:rPr>
          <w:color w:val="292C2E"/>
        </w:rPr>
      </w:pPr>
    </w:p>
    <w:p w:rsidR="008D2B3A" w:rsidRPr="008D2B3A" w:rsidRDefault="008D2B3A" w:rsidP="008D2B3A">
      <w:pPr>
        <w:spacing w:line="360" w:lineRule="auto"/>
        <w:rPr>
          <w:color w:val="292C2E"/>
        </w:rPr>
      </w:pPr>
      <w:r w:rsidRPr="008D2B3A">
        <w:rPr>
          <w:color w:val="292C2E"/>
        </w:rPr>
        <w:t xml:space="preserve">Nový výzkum OECD využívá údaje z různých zemí ke zkoumání přímého vztahu mezi nesouladem a ukazateli produktivity práce na úrovni odvětví, které jsou vytvořeny z údajů na úrovni podniků. Nesoulad mezi kvalifikacemi a agregátní produktivitou by mohl být spojen dvěma kanály: nižšími kvalifikacemi a nižší produktivitou. (nebo vyšší) produktivitou uvnitř firmy a méně efektivní alokací práce mezi firmami. Vyšší kvalifikace nesouladu je podle </w:t>
      </w:r>
      <w:r w:rsidRPr="008D2B3A">
        <w:rPr>
          <w:color w:val="292C2E"/>
        </w:rPr>
        <w:lastRenderedPageBreak/>
        <w:t>zjištění spojena s nižší produktivitou práce prostřednictvím kanálu méně efektivního využívání zdrojů.</w:t>
      </w:r>
    </w:p>
    <w:p w:rsidR="008D2B3A" w:rsidRPr="008D2B3A" w:rsidRDefault="008D2B3A" w:rsidP="008D2B3A">
      <w:pPr>
        <w:spacing w:line="360" w:lineRule="auto"/>
        <w:rPr>
          <w:color w:val="292C2E"/>
        </w:rPr>
      </w:pPr>
      <w:r w:rsidRPr="008D2B3A">
        <w:rPr>
          <w:color w:val="292C2E"/>
        </w:rPr>
        <w:t xml:space="preserve">alokace zdrojů. To navíc do značné míry odráží silnou negativní korelaci mezi nadměrnou kvalifikací a produktivitou. Jedním z vysvětlení by mohlo být, že vzhledem k tomu, že firmy čerpají z omezeného a pevně stanoveného fondu kvalifikovaných pracovníků, uvěznění zdrojů v podnicích s relativně nízkou produktivitou - k čemuž zpravidla dochází v odvětvích s vysokou produktivitou práce - může vést k tomu, že se zdroje může ztížit přilákání kvalifikovaných pracovníků do produktivnějších </w:t>
      </w:r>
      <w:proofErr w:type="gramStart"/>
      <w:r w:rsidRPr="008D2B3A">
        <w:rPr>
          <w:color w:val="292C2E"/>
        </w:rPr>
        <w:t>podniků. a získat</w:t>
      </w:r>
      <w:proofErr w:type="gramEnd"/>
      <w:r w:rsidRPr="008D2B3A">
        <w:rPr>
          <w:color w:val="292C2E"/>
        </w:rPr>
        <w:t xml:space="preserve"> podíl na trhu na úkor méně produktivních firem34.</w:t>
      </w:r>
    </w:p>
    <w:p w:rsidR="008D2B3A" w:rsidRPr="008D2B3A" w:rsidRDefault="008D2B3A" w:rsidP="008D2B3A">
      <w:pPr>
        <w:spacing w:line="360" w:lineRule="auto"/>
        <w:rPr>
          <w:color w:val="292C2E"/>
        </w:rPr>
      </w:pPr>
    </w:p>
    <w:p w:rsidR="00940D13" w:rsidRDefault="00940D13" w:rsidP="00940D13">
      <w:pPr>
        <w:spacing w:line="360" w:lineRule="auto"/>
        <w:jc w:val="both"/>
        <w:rPr>
          <w:color w:val="292C2E"/>
        </w:rPr>
      </w:pPr>
      <w:r w:rsidRPr="00940D13">
        <w:rPr>
          <w:color w:val="292C2E"/>
        </w:rPr>
        <w:t>Na podnikové úrovni se oblasti dohánění prouduktivity zabývaly napříklady  Alvareze a Crespiho (2007), kteří měřili dohánění z hlediska celkové produktivity výrobních faktorů (TFP) na úrovni podniku s využitím údajů o chilských výrobních závodech se zmařeření na vnitroodvětvové dohánění, tj. konvergenci mezi odvětvími.</w:t>
      </w:r>
    </w:p>
    <w:p w:rsidR="00940D13" w:rsidRDefault="00940D13" w:rsidP="00E54D02">
      <w:pPr>
        <w:spacing w:line="360" w:lineRule="auto"/>
        <w:rPr>
          <w:color w:val="292C2E"/>
        </w:rPr>
      </w:pPr>
    </w:p>
    <w:p w:rsidR="00940D13" w:rsidRDefault="00940D13" w:rsidP="00E54D02">
      <w:pPr>
        <w:spacing w:line="360" w:lineRule="auto"/>
        <w:rPr>
          <w:color w:val="292C2E"/>
        </w:rPr>
      </w:pPr>
    </w:p>
    <w:p w:rsidR="00940D13" w:rsidRPr="00940D13" w:rsidRDefault="00940D13" w:rsidP="00940D13">
      <w:pPr>
        <w:spacing w:line="360" w:lineRule="auto"/>
        <w:rPr>
          <w:color w:val="292C2E"/>
        </w:rPr>
      </w:pPr>
      <w:r w:rsidRPr="00940D13">
        <w:rPr>
          <w:color w:val="292C2E"/>
        </w:rPr>
        <w:t xml:space="preserve">Mezi jednotlivými státy existuje </w:t>
      </w:r>
      <w:proofErr w:type="gramStart"/>
      <w:r w:rsidRPr="00940D13">
        <w:rPr>
          <w:color w:val="292C2E"/>
        </w:rPr>
        <w:t>velká</w:t>
      </w:r>
      <w:proofErr w:type="gramEnd"/>
      <w:r w:rsidRPr="00940D13">
        <w:rPr>
          <w:color w:val="292C2E"/>
        </w:rPr>
        <w:t xml:space="preserve"> rozptyl  produktivity v rámci odvětví. Nejen v rozvojových, ale i ve vyspělých zemích bylo zjištěno, že existují významné rozdíly v produktivitě podniků. </w:t>
      </w:r>
    </w:p>
    <w:p w:rsidR="00940D13" w:rsidRPr="00940D13" w:rsidRDefault="00940D13" w:rsidP="00940D13">
      <w:pPr>
        <w:spacing w:line="360" w:lineRule="auto"/>
        <w:rPr>
          <w:color w:val="292C2E"/>
        </w:rPr>
      </w:pPr>
    </w:p>
    <w:p w:rsidR="00940D13" w:rsidRDefault="00940D13" w:rsidP="00940D13">
      <w:pPr>
        <w:spacing w:line="360" w:lineRule="auto"/>
        <w:rPr>
          <w:color w:val="292C2E"/>
        </w:rPr>
      </w:pPr>
      <w:r w:rsidRPr="00940D13">
        <w:rPr>
          <w:color w:val="292C2E"/>
        </w:rPr>
        <w:t xml:space="preserve"> Zajímá nás zejména, zda podniky s nízkou produktivitou konvergují k hranici produktivity odvětví. Zajímá nás také empirická analýza toho, které faktory mohou tuto konvergenci urychlit. V tomto ohledu navazujeme na předchozí empirické poznatky zaměřené na roli technologických transferů od nadnárodních firem a snažíme se zjistit, jakou roli v tomto procesu hrají technologické transfery.</w:t>
      </w:r>
      <w:r>
        <w:rPr>
          <w:color w:val="292C2E"/>
        </w:rPr>
        <w:t xml:space="preserve">  </w:t>
      </w:r>
      <w:r w:rsidRPr="00940D13">
        <w:rPr>
          <w:color w:val="292C2E"/>
        </w:rPr>
        <w:t>Naše výsledky ukazují, že dochází k dohánění produktivity a že vyšší přítomnost nadnárodních podniků k tomuto jevu pozitivně přispívá. Tato zjištění jsou v souladu s myšlenkou přelévání technologií ze závodů s vysokou produktivitou do závodů s nízkou produktivitou nebo s tím, že vyšší přítomnost nadnárodních společností zvyšuje konkurenceschopnost a produktivitu na domácích trzích.</w:t>
      </w:r>
      <w:r w:rsidRPr="00940D13">
        <w:t xml:space="preserve"> </w:t>
      </w:r>
      <w:r>
        <w:t>(Alvarez &amp; Crespi, 2007)</w:t>
      </w:r>
    </w:p>
    <w:p w:rsidR="00940D13" w:rsidRDefault="00940D13" w:rsidP="00E54D02">
      <w:pPr>
        <w:spacing w:line="360" w:lineRule="auto"/>
        <w:rPr>
          <w:color w:val="292C2E"/>
        </w:rPr>
      </w:pPr>
    </w:p>
    <w:p w:rsidR="00940D13" w:rsidRPr="00E54D02" w:rsidRDefault="00BA48D0" w:rsidP="009E2549">
      <w:pPr>
        <w:spacing w:line="360" w:lineRule="auto"/>
        <w:jc w:val="both"/>
        <w:rPr>
          <w:color w:val="292C2E"/>
        </w:rPr>
      </w:pPr>
      <w:r w:rsidRPr="00BA48D0">
        <w:rPr>
          <w:color w:val="292C2E"/>
        </w:rPr>
        <w:t xml:space="preserve">Dle  studie (Hodula &amp; Pfeifer, 2018)empirické důkazy naznačují, že během hospodářského rozmachu se výrobní faktory (zejména práce) mohou přesunout do méně produktivních a více procyklických odvětví ekonomiky což může následně prohloubit a prodloužit hospodářský </w:t>
      </w:r>
      <w:r w:rsidRPr="00BA48D0">
        <w:rPr>
          <w:color w:val="292C2E"/>
        </w:rPr>
        <w:lastRenderedPageBreak/>
        <w:t>propad.  Hlavní zjištění této studie bylo, že  úvěrový boom způsobuje realokaci práce do méně produktivních odvětví. Naopak monetární expanze podporuje doháněcí efekt české ekonomiky</w:t>
      </w:r>
      <w:r w:rsidR="009E2549">
        <w:rPr>
          <w:color w:val="292C2E"/>
        </w:rPr>
        <w:t xml:space="preserve"> v oblasti produktivity práce u některých odvětví (stavebnictví, obchod, průmysl)</w:t>
      </w:r>
      <w:r w:rsidRPr="00BA48D0">
        <w:rPr>
          <w:color w:val="292C2E"/>
        </w:rPr>
        <w:t>, ale zároveň může zvýšit úvěrovou aktivitu.</w:t>
      </w:r>
      <w:r w:rsidR="009E2549">
        <w:rPr>
          <w:color w:val="292C2E"/>
        </w:rPr>
        <w:t xml:space="preserve"> </w:t>
      </w:r>
    </w:p>
    <w:p w:rsidR="0066214A" w:rsidRPr="00E54D02" w:rsidRDefault="0066214A" w:rsidP="00E54D02">
      <w:pPr>
        <w:spacing w:line="360" w:lineRule="auto"/>
        <w:rPr>
          <w:color w:val="292C2E"/>
        </w:rPr>
      </w:pPr>
    </w:p>
    <w:p w:rsidR="0056103C" w:rsidRDefault="0056103C" w:rsidP="00E54D02">
      <w:pPr>
        <w:spacing w:line="360" w:lineRule="auto"/>
        <w:rPr>
          <w:color w:val="292C2E"/>
        </w:rPr>
      </w:pPr>
    </w:p>
    <w:p w:rsidR="0056103C" w:rsidRDefault="0056103C" w:rsidP="00E54D02">
      <w:pPr>
        <w:spacing w:line="360" w:lineRule="auto"/>
        <w:rPr>
          <w:color w:val="292C2E"/>
        </w:rPr>
      </w:pPr>
    </w:p>
    <w:p w:rsidR="004D615D" w:rsidRDefault="004D615D" w:rsidP="00E54D02">
      <w:pPr>
        <w:spacing w:line="360" w:lineRule="auto"/>
        <w:rPr>
          <w:color w:val="292C2E"/>
        </w:rPr>
      </w:pPr>
    </w:p>
    <w:p w:rsidR="004D615D" w:rsidRDefault="004D615D" w:rsidP="00E54D02">
      <w:pPr>
        <w:spacing w:line="360" w:lineRule="auto"/>
        <w:rPr>
          <w:color w:val="292C2E"/>
        </w:rPr>
      </w:pPr>
    </w:p>
    <w:p w:rsidR="004D615D" w:rsidRDefault="004D615D" w:rsidP="00E54D02">
      <w:pPr>
        <w:spacing w:line="360" w:lineRule="auto"/>
        <w:rPr>
          <w:color w:val="292C2E"/>
        </w:rPr>
      </w:pPr>
    </w:p>
    <w:p w:rsidR="004D615D" w:rsidRDefault="004D615D" w:rsidP="00E54D02">
      <w:pPr>
        <w:spacing w:line="360" w:lineRule="auto"/>
        <w:rPr>
          <w:color w:val="292C2E"/>
        </w:rPr>
      </w:pPr>
    </w:p>
    <w:p w:rsidR="004D615D" w:rsidRDefault="004D615D" w:rsidP="00E54D02">
      <w:pPr>
        <w:spacing w:line="360" w:lineRule="auto"/>
        <w:rPr>
          <w:color w:val="292C2E"/>
        </w:rPr>
      </w:pPr>
    </w:p>
    <w:p w:rsidR="004D615D" w:rsidRDefault="004D615D" w:rsidP="00E54D02">
      <w:pPr>
        <w:spacing w:line="360" w:lineRule="auto"/>
        <w:rPr>
          <w:color w:val="292C2E"/>
        </w:rPr>
      </w:pPr>
    </w:p>
    <w:p w:rsidR="004D615D" w:rsidRDefault="004D615D" w:rsidP="00E54D02">
      <w:pPr>
        <w:spacing w:line="360" w:lineRule="auto"/>
        <w:rPr>
          <w:color w:val="292C2E"/>
        </w:rPr>
      </w:pPr>
    </w:p>
    <w:p w:rsidR="004D615D" w:rsidRDefault="004D615D" w:rsidP="00E54D02">
      <w:pPr>
        <w:spacing w:line="360" w:lineRule="auto"/>
        <w:rPr>
          <w:color w:val="292C2E"/>
        </w:rPr>
      </w:pPr>
    </w:p>
    <w:p w:rsidR="004D615D" w:rsidRDefault="004D615D" w:rsidP="00E54D02">
      <w:pPr>
        <w:spacing w:line="360" w:lineRule="auto"/>
        <w:rPr>
          <w:color w:val="292C2E"/>
        </w:rPr>
      </w:pPr>
    </w:p>
    <w:p w:rsidR="004D615D" w:rsidRDefault="004D615D" w:rsidP="00E54D02">
      <w:pPr>
        <w:spacing w:line="360" w:lineRule="auto"/>
        <w:rPr>
          <w:color w:val="292C2E"/>
        </w:rPr>
      </w:pPr>
    </w:p>
    <w:p w:rsidR="004D615D" w:rsidRDefault="004D615D" w:rsidP="00E54D02">
      <w:pPr>
        <w:spacing w:line="360" w:lineRule="auto"/>
        <w:rPr>
          <w:color w:val="292C2E"/>
        </w:rPr>
      </w:pPr>
    </w:p>
    <w:p w:rsidR="004D615D" w:rsidRDefault="004D615D" w:rsidP="00E54D02">
      <w:pPr>
        <w:spacing w:line="360" w:lineRule="auto"/>
        <w:rPr>
          <w:color w:val="292C2E"/>
        </w:rPr>
      </w:pPr>
      <w:r>
        <w:rPr>
          <w:color w:val="292C2E"/>
        </w:rPr>
        <w:t>,</w:t>
      </w:r>
    </w:p>
    <w:p w:rsidR="0056103C" w:rsidRPr="004D615D" w:rsidRDefault="0056103C" w:rsidP="00E54D02">
      <w:pPr>
        <w:spacing w:line="360" w:lineRule="auto"/>
        <w:rPr>
          <w:b/>
          <w:color w:val="292C2E"/>
        </w:rPr>
      </w:pPr>
    </w:p>
    <w:p w:rsidR="0056103C" w:rsidRPr="004D615D" w:rsidRDefault="0056103C" w:rsidP="00E54D02">
      <w:pPr>
        <w:spacing w:line="360" w:lineRule="auto"/>
        <w:rPr>
          <w:b/>
          <w:color w:val="292C2E"/>
        </w:rPr>
      </w:pPr>
      <w:r w:rsidRPr="004D615D">
        <w:rPr>
          <w:b/>
          <w:color w:val="292C2E"/>
        </w:rPr>
        <w:t xml:space="preserve">Současný stav poznání v dané oblasti </w:t>
      </w:r>
    </w:p>
    <w:p w:rsidR="00EA1535" w:rsidRDefault="0056103C" w:rsidP="00EA1535">
      <w:pPr>
        <w:spacing w:line="360" w:lineRule="auto"/>
        <w:jc w:val="both"/>
      </w:pPr>
      <w:r w:rsidRPr="0056103C">
        <w:rPr>
          <w:color w:val="292C2E"/>
        </w:rPr>
        <w:t xml:space="preserve">Samotná oblast </w:t>
      </w:r>
      <w:r w:rsidR="00BA5566">
        <w:rPr>
          <w:color w:val="292C2E"/>
        </w:rPr>
        <w:t xml:space="preserve">konvergence </w:t>
      </w:r>
      <w:r w:rsidR="004D615D">
        <w:rPr>
          <w:color w:val="292C2E"/>
        </w:rPr>
        <w:t>produktivity je v posledních šedesáti letech</w:t>
      </w:r>
      <w:r w:rsidRPr="0056103C">
        <w:rPr>
          <w:color w:val="292C2E"/>
        </w:rPr>
        <w:t xml:space="preserve"> velmi podrobně analyzována za pomocí různých přístupů.</w:t>
      </w:r>
      <w:r w:rsidR="00BA5566">
        <w:rPr>
          <w:color w:val="292C2E"/>
        </w:rPr>
        <w:t xml:space="preserve">  </w:t>
      </w:r>
      <w:r w:rsidR="004D615D">
        <w:rPr>
          <w:color w:val="292C2E"/>
        </w:rPr>
        <w:t xml:space="preserve">Oblast dohánění produktivity (catch-up) již tak podrobně prostudována není, ačkoli i zde je velká řada studií, které se nejdříve zaměřovala na oblast technologií </w:t>
      </w:r>
      <w:r w:rsidR="00C9447B">
        <w:rPr>
          <w:color w:val="292C2E"/>
        </w:rPr>
        <w:t xml:space="preserve"> (</w:t>
      </w:r>
      <w:r w:rsidR="00C9447B" w:rsidRPr="00E54D02">
        <w:t xml:space="preserve">Dowrick </w:t>
      </w:r>
      <w:r w:rsidR="00C9447B">
        <w:t xml:space="preserve">and Rogers, </w:t>
      </w:r>
      <w:r w:rsidR="00C9447B" w:rsidRPr="00E54D02">
        <w:t>2002</w:t>
      </w:r>
      <w:r w:rsidR="00C9447B">
        <w:t xml:space="preserve">, </w:t>
      </w:r>
      <w:r w:rsidR="00C9447B" w:rsidRPr="00E54D02">
        <w:t>Boussemart</w:t>
      </w:r>
      <w:r w:rsidR="00C9447B">
        <w:t xml:space="preserve"> et al. 2017)</w:t>
      </w:r>
      <w:r w:rsidR="00C9447B">
        <w:t xml:space="preserve"> </w:t>
      </w:r>
      <w:r w:rsidR="00C9447B">
        <w:rPr>
          <w:color w:val="292C2E"/>
        </w:rPr>
        <w:t xml:space="preserve"> jsou převážně orientovány dohánění států.  Následně došlo k zaměření se na produktivitu nejčastějí na celkovou produktivitu výrobních faktorů  tzn. TFP (</w:t>
      </w:r>
      <w:r w:rsidR="00C9447B" w:rsidRPr="00E54D02">
        <w:t xml:space="preserve">Filippetti, </w:t>
      </w:r>
      <w:r w:rsidR="00C9447B">
        <w:t xml:space="preserve">&amp; Payrache, A. </w:t>
      </w:r>
      <w:r w:rsidR="00C9447B" w:rsidRPr="00E54D02">
        <w:t>2010</w:t>
      </w:r>
      <w:r w:rsidR="00C9447B">
        <w:t xml:space="preserve">, </w:t>
      </w:r>
      <w:r w:rsidR="00782030">
        <w:t>Mattsson, et al. 2020</w:t>
      </w:r>
      <w:r w:rsidR="00782030" w:rsidRPr="00C9447B">
        <w:rPr>
          <w:color w:val="292C2E"/>
        </w:rPr>
        <w:t>)</w:t>
      </w:r>
      <w:r w:rsidR="00C9447B" w:rsidRPr="00E54D02">
        <w:t xml:space="preserve">. </w:t>
      </w:r>
      <w:r w:rsidR="00EA1535">
        <w:rPr>
          <w:color w:val="292C2E"/>
        </w:rPr>
        <w:t>Produktivitu</w:t>
      </w:r>
      <w:r w:rsidR="00C9447B">
        <w:rPr>
          <w:color w:val="292C2E"/>
        </w:rPr>
        <w:t xml:space="preserve"> práce (</w:t>
      </w:r>
      <w:r w:rsidR="00C9447B" w:rsidRPr="00C9447B">
        <w:rPr>
          <w:color w:val="292C2E"/>
        </w:rPr>
        <w:t>Kumar &amp; Russell, 2002</w:t>
      </w:r>
      <w:r w:rsidR="00782030">
        <w:rPr>
          <w:color w:val="292C2E"/>
        </w:rPr>
        <w:t>,</w:t>
      </w:r>
      <w:r w:rsidR="00782030" w:rsidRPr="00782030">
        <w:t xml:space="preserve"> </w:t>
      </w:r>
      <w:r w:rsidR="00782030">
        <w:t>AlKathiri, N. (2021)</w:t>
      </w:r>
      <w:r w:rsidR="00782030">
        <w:rPr>
          <w:color w:val="292C2E"/>
        </w:rPr>
        <w:t xml:space="preserve">.  Je možné zaznamenta přístupy z pohledu makroekonomického na úrovní států, kdy například studie </w:t>
      </w:r>
      <w:r w:rsidR="00782030" w:rsidRPr="00E54D02">
        <w:t>Filippetti</w:t>
      </w:r>
      <w:r w:rsidR="00782030">
        <w:t xml:space="preserve"> a  Payrache (2010) je zaměřena, jak nové členské státy dohání staré členské státy.  Další pohled může být regionální (</w:t>
      </w:r>
      <w:r w:rsidR="00782030" w:rsidRPr="00E54D02">
        <w:t>Castelnovo, 2020)</w:t>
      </w:r>
      <w:r w:rsidR="00782030">
        <w:t xml:space="preserve"> či podnikový (Jun a </w:t>
      </w:r>
      <w:r w:rsidR="00782030">
        <w:t>Lee</w:t>
      </w:r>
      <w:r w:rsidR="00782030">
        <w:t xml:space="preserve"> </w:t>
      </w:r>
      <w:r w:rsidR="00782030">
        <w:t>2010</w:t>
      </w:r>
      <w:r w:rsidR="00782030">
        <w:t>, Mattsson et al.  2020</w:t>
      </w:r>
      <w:r w:rsidR="00782030">
        <w:t>).</w:t>
      </w:r>
      <w:r w:rsidR="00EA1535">
        <w:t xml:space="preserve"> Z uvedeného přehledu je zřejmé, že obla</w:t>
      </w:r>
      <w:r w:rsidR="00D464FF">
        <w:t>st convergence a dohánění prouk</w:t>
      </w:r>
      <w:r w:rsidR="00EA1535">
        <w:t xml:space="preserve">tivity není mrtvé, ale naopak přináší nové pohledy na danou problematiku, které lze často využít ve formě politik. </w:t>
      </w:r>
    </w:p>
    <w:p w:rsidR="00D464FF" w:rsidRDefault="00D464FF" w:rsidP="00EA1535">
      <w:pPr>
        <w:spacing w:line="360" w:lineRule="auto"/>
        <w:jc w:val="both"/>
      </w:pPr>
    </w:p>
    <w:p w:rsidR="00F11EDC" w:rsidRDefault="00F11EDC" w:rsidP="00EA1535">
      <w:pPr>
        <w:spacing w:line="360" w:lineRule="auto"/>
        <w:jc w:val="both"/>
      </w:pPr>
      <w:r>
        <w:t>Analýzy zemí V4</w:t>
      </w:r>
    </w:p>
    <w:p w:rsidR="00C12B5C" w:rsidRDefault="00012C49" w:rsidP="00EA1535">
      <w:pPr>
        <w:spacing w:line="360" w:lineRule="auto"/>
        <w:jc w:val="both"/>
        <w:rPr>
          <w:color w:val="292C2E"/>
        </w:rPr>
      </w:pPr>
      <w:r>
        <w:t xml:space="preserve"> </w:t>
      </w:r>
      <w:r w:rsidR="00AC7FCA">
        <w:t>(Dvoulety &amp; Blazkova, 2021)</w:t>
      </w:r>
      <w:r w:rsidR="00AC7FCA" w:rsidRPr="00C12B5C">
        <w:rPr>
          <w:color w:val="292C2E"/>
        </w:rPr>
        <w:t xml:space="preserve"> </w:t>
      </w:r>
      <w:r w:rsidR="00C12B5C" w:rsidRPr="00C12B5C">
        <w:rPr>
          <w:color w:val="292C2E"/>
        </w:rPr>
        <w:t>Analýza ČR ukázala, že firmy s menším počtem zaměstnanců vykazují vyšší úroveň produktivity. Nicméně vliv na TFP byl zjištěn u velikosti aktiv a většího využívání vlastních zdrojů.</w:t>
      </w:r>
    </w:p>
    <w:p w:rsidR="00C12B5C" w:rsidRDefault="00C12B5C" w:rsidP="00EA1535">
      <w:pPr>
        <w:spacing w:line="360" w:lineRule="auto"/>
        <w:jc w:val="both"/>
        <w:rPr>
          <w:color w:val="292C2E"/>
        </w:rPr>
      </w:pPr>
    </w:p>
    <w:p w:rsidR="00F11EDC" w:rsidRDefault="00F11EDC" w:rsidP="00EA1535">
      <w:pPr>
        <w:spacing w:line="360" w:lineRule="auto"/>
        <w:jc w:val="both"/>
      </w:pPr>
      <w:r w:rsidRPr="00BA48D0">
        <w:rPr>
          <w:color w:val="292C2E"/>
        </w:rPr>
        <w:t>Dle  studie (Hodula &amp; Pfeifer, 2018)empirické důkazy naznačují, že během hospodářského rozmachu se výrobní faktory (zejména práce) mohou přesunout do méně produktivních a více procyklických odvětví ekonomiky což</w:t>
      </w:r>
    </w:p>
    <w:p w:rsidR="00EA1535" w:rsidRDefault="00EA1535" w:rsidP="00EA1535">
      <w:pPr>
        <w:spacing w:line="360" w:lineRule="auto"/>
        <w:jc w:val="both"/>
        <w:rPr>
          <w:color w:val="292C2E"/>
        </w:rPr>
      </w:pPr>
      <w:r>
        <w:t>Z hlediska zemí V</w:t>
      </w:r>
    </w:p>
    <w:p w:rsidR="00782030" w:rsidRDefault="00782030" w:rsidP="00C9447B">
      <w:pPr>
        <w:rPr>
          <w:color w:val="292C2E"/>
        </w:rPr>
      </w:pPr>
    </w:p>
    <w:p w:rsidR="00C9447B" w:rsidRDefault="00C9447B" w:rsidP="00C9447B">
      <w:pPr>
        <w:rPr>
          <w:color w:val="292C2E"/>
        </w:rPr>
      </w:pPr>
      <w:r>
        <w:rPr>
          <w:color w:val="292C2E"/>
        </w:rPr>
        <w:t xml:space="preserve">většimu využití této metodiky na odvětví </w:t>
      </w:r>
    </w:p>
    <w:p w:rsidR="0056103C" w:rsidRDefault="0056103C" w:rsidP="00E54D02">
      <w:pPr>
        <w:spacing w:line="360" w:lineRule="auto"/>
        <w:rPr>
          <w:color w:val="292C2E"/>
        </w:rPr>
      </w:pPr>
      <w:r>
        <w:rPr>
          <w:color w:val="292C2E"/>
        </w:rPr>
        <w:t>Řada studií se zabývala obalstí konvergence zemí V4</w:t>
      </w:r>
    </w:p>
    <w:p w:rsidR="00012C49" w:rsidRDefault="00012C49" w:rsidP="00E54D02">
      <w:pPr>
        <w:spacing w:line="360" w:lineRule="auto"/>
        <w:rPr>
          <w:color w:val="292C2E"/>
        </w:rPr>
      </w:pPr>
      <w:r>
        <w:rPr>
          <w:color w:val="292C2E"/>
        </w:rPr>
        <w:t xml:space="preserve">Mezi hlavní směr </w:t>
      </w:r>
    </w:p>
    <w:p w:rsidR="00012C49" w:rsidRDefault="00012C49" w:rsidP="00012C49">
      <w:pPr>
        <w:spacing w:line="360" w:lineRule="auto"/>
        <w:jc w:val="both"/>
        <w:rPr>
          <w:rFonts w:ascii="Helvetica" w:hAnsi="Helvetica" w:cs="Helvetica"/>
          <w:color w:val="333333"/>
          <w:sz w:val="18"/>
          <w:szCs w:val="18"/>
        </w:rPr>
      </w:pPr>
      <w:r>
        <w:t>(Wojciechowski, 2016)</w:t>
      </w:r>
      <w:r>
        <w:t xml:space="preserve"> </w:t>
      </w:r>
      <w:r>
        <w:rPr>
          <w:rFonts w:ascii="Noto Sans" w:hAnsi="Noto Sans"/>
          <w:sz w:val="21"/>
          <w:szCs w:val="21"/>
          <w:shd w:val="clear" w:color="auto" w:fill="FFFFFF"/>
        </w:rPr>
        <w:t>Tato studie analyzuje jeden z hlavních postulátů teorie endogenního růstu, který naznačuje, že otevřenost mezinárodního obchodu je schopna urychlit produktivitu ovlivňující růst.</w:t>
      </w:r>
      <w:r>
        <w:rPr>
          <w:rFonts w:ascii="Noto Sans" w:hAnsi="Noto Sans"/>
          <w:sz w:val="21"/>
          <w:szCs w:val="21"/>
          <w:shd w:val="clear" w:color="auto" w:fill="FFFFFF"/>
        </w:rPr>
        <w:t xml:space="preserve"> </w:t>
      </w:r>
      <w:r>
        <w:rPr>
          <w:rFonts w:ascii="Noto Sans" w:hAnsi="Noto Sans"/>
          <w:sz w:val="21"/>
          <w:szCs w:val="21"/>
          <w:shd w:val="clear" w:color="auto" w:fill="FFFFFF"/>
        </w:rPr>
        <w:t>Přestože v případě otevřenosti mezi zeměmi V4 existují obrovské rozdíly, je pozorována silná pozitivní lineární korelace s produktivitou. </w:t>
      </w:r>
    </w:p>
    <w:p w:rsidR="00012C49" w:rsidRDefault="00012C49" w:rsidP="00012C49">
      <w:pPr>
        <w:spacing w:line="360" w:lineRule="auto"/>
        <w:jc w:val="both"/>
        <w:rPr>
          <w:rFonts w:ascii="Helvetica" w:hAnsi="Helvetica" w:cs="Helvetica"/>
          <w:color w:val="333333"/>
          <w:sz w:val="18"/>
          <w:szCs w:val="18"/>
        </w:rPr>
      </w:pPr>
    </w:p>
    <w:p w:rsidR="0056103C" w:rsidRDefault="0056103C" w:rsidP="00E54D02">
      <w:pPr>
        <w:spacing w:line="360" w:lineRule="auto"/>
        <w:rPr>
          <w:color w:val="292C2E"/>
        </w:rPr>
      </w:pPr>
    </w:p>
    <w:p w:rsidR="009944C3" w:rsidRDefault="009944C3" w:rsidP="00E54D02">
      <w:pPr>
        <w:spacing w:line="360" w:lineRule="auto"/>
        <w:rPr>
          <w:color w:val="292C2E"/>
        </w:rPr>
      </w:pPr>
      <w:r>
        <w:rPr>
          <w:color w:val="292C2E"/>
        </w:rPr>
        <w:t xml:space="preserve">(Vida 2015) </w:t>
      </w:r>
      <w:r w:rsidRPr="009944C3">
        <w:rPr>
          <w:color w:val="292C2E"/>
        </w:rPr>
        <w:t xml:space="preserve">Hlavní otázkou tohoto článku je, zda došlo </w:t>
      </w:r>
      <w:proofErr w:type="gramStart"/>
      <w:r w:rsidRPr="009944C3">
        <w:rPr>
          <w:color w:val="292C2E"/>
        </w:rPr>
        <w:t>ke</w:t>
      </w:r>
      <w:proofErr w:type="gramEnd"/>
      <w:r w:rsidRPr="009944C3">
        <w:rPr>
          <w:color w:val="292C2E"/>
        </w:rPr>
        <w:t xml:space="preserve"> real </w:t>
      </w:r>
      <w:proofErr w:type="gramStart"/>
      <w:r w:rsidRPr="009944C3">
        <w:rPr>
          <w:color w:val="292C2E"/>
        </w:rPr>
        <w:t>and</w:t>
      </w:r>
      <w:proofErr w:type="gramEnd"/>
      <w:r w:rsidRPr="009944C3">
        <w:rPr>
          <w:color w:val="292C2E"/>
        </w:rPr>
        <w:t xml:space="preserve"> nominal convergence</w:t>
      </w:r>
      <w:r>
        <w:rPr>
          <w:color w:val="292C2E"/>
        </w:rPr>
        <w:t xml:space="preserve"> </w:t>
      </w:r>
      <w:r w:rsidRPr="009944C3">
        <w:rPr>
          <w:color w:val="292C2E"/>
        </w:rPr>
        <w:t>konvergenci podle visegrádských zemí k průměrným hodnotám EU a také k sobě navzájem</w:t>
      </w:r>
    </w:p>
    <w:p w:rsidR="0056103C" w:rsidRDefault="00421507" w:rsidP="00E54D02">
      <w:pPr>
        <w:spacing w:line="360" w:lineRule="auto"/>
        <w:rPr>
          <w:color w:val="292C2E"/>
        </w:rPr>
      </w:pPr>
      <w:r w:rsidRPr="00421507">
        <w:rPr>
          <w:color w:val="292C2E"/>
        </w:rPr>
        <w:t>Jak se ukázalo, visegrádský region se ve skutečnosti vyznačuje tím, že zdlouhavým procesem dohánění na národní, regionální a mzdové úrovni.</w:t>
      </w:r>
    </w:p>
    <w:p w:rsidR="0056103C" w:rsidRDefault="0056103C" w:rsidP="00E54D02">
      <w:pPr>
        <w:spacing w:line="360" w:lineRule="auto"/>
        <w:rPr>
          <w:color w:val="292C2E"/>
        </w:rPr>
      </w:pPr>
    </w:p>
    <w:p w:rsidR="009944C3" w:rsidRDefault="009944C3" w:rsidP="00E54D02">
      <w:pPr>
        <w:spacing w:line="360" w:lineRule="auto"/>
        <w:rPr>
          <w:color w:val="292C2E"/>
        </w:rPr>
      </w:pPr>
      <w:r>
        <w:t>(MUCHA-LESZKO &amp; KAKOL, 2021)</w:t>
      </w:r>
    </w:p>
    <w:p w:rsidR="009944C3" w:rsidRPr="009944C3" w:rsidRDefault="009944C3" w:rsidP="009944C3">
      <w:pPr>
        <w:spacing w:line="360" w:lineRule="auto"/>
        <w:rPr>
          <w:color w:val="292C2E"/>
        </w:rPr>
      </w:pPr>
      <w:r w:rsidRPr="009944C3">
        <w:rPr>
          <w:color w:val="292C2E"/>
        </w:rPr>
        <w:t>tudie ... , která se zabývala regionální integrace je pro země, které se sdružují, příležitostí k urychlení růstu a také ke zmenšení ekonomické a technologické mezery.  Růst investic byl investován mimo sektor ICT, zatímco</w:t>
      </w:r>
    </w:p>
    <w:p w:rsidR="009944C3" w:rsidRPr="009944C3" w:rsidRDefault="009944C3" w:rsidP="009944C3">
      <w:pPr>
        <w:spacing w:line="360" w:lineRule="auto"/>
        <w:rPr>
          <w:color w:val="292C2E"/>
        </w:rPr>
      </w:pPr>
      <w:r w:rsidRPr="009944C3">
        <w:rPr>
          <w:color w:val="292C2E"/>
        </w:rPr>
        <w:t xml:space="preserve">příspěvek kapitálu v oblasti ICT zůstal nízký </w:t>
      </w:r>
      <w:proofErr w:type="gramStart"/>
      <w:r w:rsidRPr="009944C3">
        <w:rPr>
          <w:color w:val="292C2E"/>
        </w:rPr>
        <w:t>ve šech</w:t>
      </w:r>
      <w:proofErr w:type="gramEnd"/>
      <w:r w:rsidRPr="009944C3">
        <w:rPr>
          <w:color w:val="292C2E"/>
        </w:rPr>
        <w:t xml:space="preserve"> zemí V4 vyjma Česka. </w:t>
      </w:r>
    </w:p>
    <w:p w:rsidR="009944C3" w:rsidRPr="009944C3" w:rsidRDefault="009944C3" w:rsidP="009944C3">
      <w:pPr>
        <w:spacing w:line="360" w:lineRule="auto"/>
        <w:rPr>
          <w:color w:val="292C2E"/>
        </w:rPr>
      </w:pPr>
      <w:r w:rsidRPr="009944C3">
        <w:rPr>
          <w:color w:val="292C2E"/>
        </w:rPr>
        <w:t>Tento dopada mělo, že růstu investice do ICT  nezajistilo Polsko,</w:t>
      </w:r>
    </w:p>
    <w:p w:rsidR="009944C3" w:rsidRPr="009944C3" w:rsidRDefault="009944C3" w:rsidP="009944C3">
      <w:pPr>
        <w:spacing w:line="360" w:lineRule="auto"/>
        <w:rPr>
          <w:color w:val="292C2E"/>
        </w:rPr>
      </w:pPr>
      <w:r w:rsidRPr="009944C3">
        <w:rPr>
          <w:color w:val="292C2E"/>
        </w:rPr>
        <w:t>Slovensko a Maďarsko snížení  technologickou mezeru, ale zajistila</w:t>
      </w:r>
    </w:p>
    <w:p w:rsidR="0056103C" w:rsidRDefault="009944C3" w:rsidP="009944C3">
      <w:pPr>
        <w:spacing w:line="360" w:lineRule="auto"/>
        <w:rPr>
          <w:color w:val="292C2E"/>
        </w:rPr>
      </w:pPr>
      <w:r w:rsidRPr="009944C3">
        <w:rPr>
          <w:color w:val="292C2E"/>
        </w:rPr>
        <w:t xml:space="preserve">dosažení tohoto cíle pro Česko. </w:t>
      </w:r>
      <w:proofErr w:type="gramStart"/>
      <w:r w:rsidRPr="009944C3">
        <w:rPr>
          <w:color w:val="292C2E"/>
        </w:rPr>
        <w:t>Na</w:t>
      </w:r>
      <w:proofErr w:type="gramEnd"/>
    </w:p>
    <w:p w:rsidR="0056103C" w:rsidRDefault="0056103C" w:rsidP="00E54D02">
      <w:pPr>
        <w:spacing w:line="360" w:lineRule="auto"/>
        <w:rPr>
          <w:color w:val="292C2E"/>
        </w:rPr>
      </w:pPr>
    </w:p>
    <w:p w:rsidR="00CC21FA" w:rsidRDefault="00CC21FA" w:rsidP="00E54D02">
      <w:pPr>
        <w:spacing w:line="360" w:lineRule="auto"/>
        <w:rPr>
          <w:rFonts w:ascii="inherit" w:hAnsi="inherit" w:cs="Arial"/>
          <w:color w:val="2A2D35"/>
          <w:sz w:val="21"/>
          <w:szCs w:val="21"/>
          <w:shd w:val="clear" w:color="auto" w:fill="F8F8F8"/>
        </w:rPr>
      </w:pPr>
    </w:p>
    <w:p w:rsidR="00CC21FA" w:rsidRDefault="00CC21FA" w:rsidP="00E54D02">
      <w:pPr>
        <w:spacing w:line="360" w:lineRule="auto"/>
        <w:rPr>
          <w:color w:val="292C2E"/>
        </w:rPr>
      </w:pPr>
      <w:r>
        <w:rPr>
          <w:rFonts w:ascii="inherit" w:hAnsi="inherit" w:cs="Arial"/>
          <w:color w:val="2A2D35"/>
          <w:sz w:val="21"/>
          <w:szCs w:val="21"/>
          <w:shd w:val="clear" w:color="auto" w:fill="F8F8F8"/>
        </w:rPr>
        <w:lastRenderedPageBreak/>
        <w:t xml:space="preserve">(Jílková, Závadská  2019) </w:t>
      </w:r>
      <w:r>
        <w:rPr>
          <w:rFonts w:ascii="inherit" w:hAnsi="inherit" w:cs="Arial"/>
          <w:color w:val="2A2D35"/>
          <w:sz w:val="21"/>
          <w:szCs w:val="21"/>
          <w:shd w:val="clear" w:color="auto" w:fill="F8F8F8"/>
        </w:rPr>
        <w:t>Hlavním cílem tohoto příspěvku je porovnat vývoj produktivity práce ve čtyřech visegrádských zemích ve vztahu k veřejným výdajům na základě politik trhu práce a průměrných mezd. Ke kvantifikaci asociace mezi testovanými proměnnými používáme lineární a neparametrické korelační analýzy. K prozkoumání asociací mezi proměnnými používáme také grafické zobrazení. Výsledky naší analýzy produktivity práce ukazují závislost dvou ukazatelů, konkrétně produktivity práce a průměrných mezd. Navíc nebyla nalezena žádná korelace mezi produktivitou práce a veřejnými výdaji na politiky trhu práce pro všechny země </w:t>
      </w:r>
      <w:r>
        <w:rPr>
          <w:rStyle w:val="hithilite"/>
          <w:rFonts w:ascii="inherit" w:hAnsi="inherit" w:cs="Arial"/>
          <w:color w:val="2A2D35"/>
          <w:sz w:val="21"/>
          <w:szCs w:val="21"/>
          <w:shd w:val="clear" w:color="auto" w:fill="FFFF00"/>
        </w:rPr>
        <w:t>V4</w:t>
      </w:r>
      <w:r>
        <w:rPr>
          <w:rFonts w:ascii="inherit" w:hAnsi="inherit" w:cs="Arial"/>
          <w:color w:val="2A2D35"/>
          <w:sz w:val="21"/>
          <w:szCs w:val="21"/>
          <w:shd w:val="clear" w:color="auto" w:fill="F8F8F8"/>
        </w:rPr>
        <w:t> . Výsledek výdajů na politiky trhu práce vykazuje nejvyšší korelaci mezi Českou republikou a Maďarskem, ale pro ostatní země </w:t>
      </w:r>
      <w:r>
        <w:rPr>
          <w:rStyle w:val="hithilite"/>
          <w:rFonts w:ascii="inherit" w:hAnsi="inherit" w:cs="Arial"/>
          <w:color w:val="2A2D35"/>
          <w:sz w:val="21"/>
          <w:szCs w:val="21"/>
          <w:shd w:val="clear" w:color="auto" w:fill="FFFF00"/>
        </w:rPr>
        <w:t>V4</w:t>
      </w:r>
      <w:r>
        <w:rPr>
          <w:rFonts w:ascii="inherit" w:hAnsi="inherit" w:cs="Arial"/>
          <w:color w:val="2A2D35"/>
          <w:sz w:val="21"/>
          <w:szCs w:val="21"/>
          <w:shd w:val="clear" w:color="auto" w:fill="F8F8F8"/>
        </w:rPr>
        <w:t xml:space="preserve"> žádný významný </w:t>
      </w:r>
      <w:proofErr w:type="gramStart"/>
      <w:r>
        <w:rPr>
          <w:rFonts w:ascii="inherit" w:hAnsi="inherit" w:cs="Arial"/>
          <w:color w:val="2A2D35"/>
          <w:sz w:val="21"/>
          <w:szCs w:val="21"/>
          <w:shd w:val="clear" w:color="auto" w:fill="F8F8F8"/>
        </w:rPr>
        <w:t>výsledek . Příčinou</w:t>
      </w:r>
      <w:proofErr w:type="gramEnd"/>
      <w:r>
        <w:rPr>
          <w:rFonts w:ascii="inherit" w:hAnsi="inherit" w:cs="Arial"/>
          <w:color w:val="2A2D35"/>
          <w:sz w:val="21"/>
          <w:szCs w:val="21"/>
          <w:shd w:val="clear" w:color="auto" w:fill="F8F8F8"/>
        </w:rPr>
        <w:t xml:space="preserve"> mohou být různé vládní strategie v oblasti politiky práce a nehospodářského vlivu.</w:t>
      </w:r>
    </w:p>
    <w:p w:rsidR="0056103C" w:rsidRDefault="0056103C" w:rsidP="00E54D02">
      <w:pPr>
        <w:spacing w:line="360" w:lineRule="auto"/>
        <w:rPr>
          <w:color w:val="292C2E"/>
        </w:rPr>
      </w:pPr>
    </w:p>
    <w:p w:rsidR="00CB0990" w:rsidRPr="00CB0990" w:rsidRDefault="00CB0990" w:rsidP="00CB0990">
      <w:pPr>
        <w:spacing w:line="360" w:lineRule="auto"/>
        <w:rPr>
          <w:color w:val="292C2E"/>
        </w:rPr>
      </w:pPr>
      <w:r w:rsidRPr="00CB0990">
        <w:rPr>
          <w:color w:val="292C2E"/>
        </w:rPr>
        <w:t>V naší studii jsme zkoumali procesy dohánění regionů NUTS3.</w:t>
      </w:r>
    </w:p>
    <w:p w:rsidR="00CB0990" w:rsidRPr="00CB0990" w:rsidRDefault="00CB0990" w:rsidP="00CB0990">
      <w:pPr>
        <w:spacing w:line="360" w:lineRule="auto"/>
        <w:rPr>
          <w:color w:val="292C2E"/>
        </w:rPr>
      </w:pPr>
      <w:r w:rsidRPr="00CB0990">
        <w:rPr>
          <w:color w:val="292C2E"/>
        </w:rPr>
        <w:t xml:space="preserve">zemí Visegrádské skupiny k průměru EU. Dohánění ekonomické úrovně vyjádřené hrubým domácím produktem na hlavu dohánění je patrné v případě 98 regionů z 99. </w:t>
      </w:r>
    </w:p>
    <w:p w:rsidR="0056103C" w:rsidRDefault="00CB0990" w:rsidP="00CB0990">
      <w:pPr>
        <w:spacing w:line="360" w:lineRule="auto"/>
        <w:rPr>
          <w:color w:val="292C2E"/>
        </w:rPr>
      </w:pPr>
      <w:r w:rsidRPr="00CB0990">
        <w:rPr>
          <w:color w:val="292C2E"/>
        </w:rPr>
        <w:t>Vývoj regionů měl odlišnou tendenci, ale role národních hospodářských politik a institucí byla zjištěna jako významná</w:t>
      </w:r>
      <w:r w:rsidR="008E7EE0">
        <w:rPr>
          <w:color w:val="292C2E"/>
        </w:rPr>
        <w:t xml:space="preserve"> (</w:t>
      </w:r>
      <w:r w:rsidR="008E7EE0">
        <w:t>(Lengyel &amp; Kotosz, 2018)</w:t>
      </w:r>
      <w:r w:rsidR="008E7EE0">
        <w:rPr>
          <w:color w:val="292C2E"/>
        </w:rPr>
        <w:t>.</w:t>
      </w:r>
    </w:p>
    <w:p w:rsidR="008E7EE0" w:rsidRDefault="008E7EE0" w:rsidP="00CB0990">
      <w:pPr>
        <w:spacing w:line="360" w:lineRule="auto"/>
        <w:rPr>
          <w:color w:val="292C2E"/>
        </w:rPr>
      </w:pPr>
    </w:p>
    <w:p w:rsidR="008E7EE0" w:rsidRPr="008E7EE0" w:rsidRDefault="008E7EE0" w:rsidP="008E7EE0">
      <w:pPr>
        <w:spacing w:line="360" w:lineRule="auto"/>
        <w:rPr>
          <w:color w:val="292C2E"/>
        </w:rPr>
      </w:pPr>
      <w:r w:rsidRPr="008E7EE0">
        <w:rPr>
          <w:color w:val="292C2E"/>
        </w:rPr>
        <w:t>Zatímco zahraniční společnosti mají zjevně</w:t>
      </w:r>
    </w:p>
    <w:p w:rsidR="008E7EE0" w:rsidRPr="008E7EE0" w:rsidRDefault="008E7EE0" w:rsidP="008E7EE0">
      <w:pPr>
        <w:spacing w:line="360" w:lineRule="auto"/>
        <w:rPr>
          <w:color w:val="292C2E"/>
        </w:rPr>
      </w:pPr>
      <w:r w:rsidRPr="008E7EE0">
        <w:rPr>
          <w:color w:val="292C2E"/>
        </w:rPr>
        <w:t>výhodu v produktivitě, jejich nárůst podílu vývozu koreluje s nižší efektivností; v</w:t>
      </w:r>
    </w:p>
    <w:p w:rsidR="008E7EE0" w:rsidRDefault="008E7EE0" w:rsidP="008E7EE0">
      <w:pPr>
        <w:spacing w:line="360" w:lineRule="auto"/>
        <w:rPr>
          <w:color w:val="292C2E"/>
        </w:rPr>
      </w:pPr>
      <w:r w:rsidRPr="008E7EE0">
        <w:rPr>
          <w:color w:val="292C2E"/>
        </w:rPr>
        <w:t>naopak intenzita vývozu zvyšuje efektivnost podniků v místním vlastnictví.</w:t>
      </w:r>
    </w:p>
    <w:p w:rsidR="008E7EE0" w:rsidRDefault="008E7EE0" w:rsidP="008E7EE0">
      <w:pPr>
        <w:spacing w:line="360" w:lineRule="auto"/>
        <w:rPr>
          <w:color w:val="292C2E"/>
        </w:rPr>
      </w:pPr>
    </w:p>
    <w:p w:rsidR="008E7EE0" w:rsidRPr="008E7EE0" w:rsidRDefault="008E7EE0" w:rsidP="008E7EE0">
      <w:pPr>
        <w:spacing w:line="360" w:lineRule="auto"/>
        <w:rPr>
          <w:color w:val="292C2E"/>
        </w:rPr>
      </w:pPr>
      <w:r>
        <w:t>(Fifeková &amp; Vondrová, 2016)</w:t>
      </w:r>
      <w:r w:rsidRPr="008E7EE0">
        <w:rPr>
          <w:color w:val="292C2E"/>
        </w:rPr>
        <w:t>Vysoká dynamika růstu středoevropských zemí zemí, která do značné míry</w:t>
      </w:r>
    </w:p>
    <w:p w:rsidR="008E7EE0" w:rsidRPr="008E7EE0" w:rsidRDefault="008E7EE0" w:rsidP="008E7EE0">
      <w:pPr>
        <w:spacing w:line="360" w:lineRule="auto"/>
        <w:rPr>
          <w:color w:val="292C2E"/>
        </w:rPr>
      </w:pPr>
      <w:r w:rsidRPr="008E7EE0">
        <w:rPr>
          <w:color w:val="292C2E"/>
        </w:rPr>
        <w:t>překračovala průměr EU-15, vedla k tomu, že se ke snížení rozdílu ve výkonnosti mezi skupinami zemí V4 a EU-15. Současný pokles celkové produktivity faktorů vyvolává obavu, že silný růst produktivity faktorů v jednotlivých</w:t>
      </w:r>
    </w:p>
    <w:p w:rsidR="008E7EE0" w:rsidRPr="008E7EE0" w:rsidRDefault="008E7EE0" w:rsidP="008E7EE0">
      <w:pPr>
        <w:spacing w:line="360" w:lineRule="auto"/>
        <w:rPr>
          <w:color w:val="292C2E"/>
        </w:rPr>
      </w:pPr>
      <w:r w:rsidRPr="008E7EE0">
        <w:rPr>
          <w:color w:val="292C2E"/>
        </w:rPr>
        <w:t xml:space="preserve">středoevropských </w:t>
      </w:r>
      <w:proofErr w:type="gramStart"/>
      <w:r w:rsidRPr="008E7EE0">
        <w:rPr>
          <w:color w:val="292C2E"/>
        </w:rPr>
        <w:t>zemích</w:t>
      </w:r>
      <w:proofErr w:type="gramEnd"/>
      <w:r w:rsidRPr="008E7EE0">
        <w:rPr>
          <w:color w:val="292C2E"/>
        </w:rPr>
        <w:t xml:space="preserve"> byl způsoben především transformací a nemusí být obnovitelným zdrojem konvergence v zemích střední Evropy.</w:t>
      </w:r>
    </w:p>
    <w:p w:rsidR="008E7EE0" w:rsidRDefault="008E7EE0" w:rsidP="008E7EE0">
      <w:pPr>
        <w:spacing w:line="360" w:lineRule="auto"/>
        <w:rPr>
          <w:color w:val="292C2E"/>
        </w:rPr>
      </w:pPr>
      <w:r w:rsidRPr="008E7EE0">
        <w:rPr>
          <w:color w:val="292C2E"/>
        </w:rPr>
        <w:t>v budoucnosti.</w:t>
      </w:r>
    </w:p>
    <w:p w:rsidR="0056103C" w:rsidRDefault="0056103C" w:rsidP="00E54D02">
      <w:pPr>
        <w:spacing w:line="360" w:lineRule="auto"/>
        <w:rPr>
          <w:color w:val="292C2E"/>
        </w:rPr>
      </w:pPr>
    </w:p>
    <w:p w:rsidR="00577155" w:rsidRPr="00E54D02" w:rsidRDefault="00F970CB" w:rsidP="00E54D02">
      <w:pPr>
        <w:spacing w:line="360" w:lineRule="auto"/>
        <w:rPr>
          <w:color w:val="292C2E"/>
        </w:rPr>
      </w:pPr>
      <w:r w:rsidRPr="00E54D02">
        <w:rPr>
          <w:color w:val="292C2E"/>
        </w:rPr>
        <w:t xml:space="preserve">Závěr </w:t>
      </w:r>
    </w:p>
    <w:p w:rsidR="00F970CB" w:rsidRPr="00E54D02" w:rsidRDefault="00F970CB" w:rsidP="00E54D02">
      <w:pPr>
        <w:spacing w:line="360" w:lineRule="auto"/>
        <w:rPr>
          <w:color w:val="292C2E"/>
        </w:rPr>
      </w:pPr>
    </w:p>
    <w:p w:rsidR="00F970CB" w:rsidRDefault="00F970CB" w:rsidP="00E54D02">
      <w:pPr>
        <w:spacing w:line="360" w:lineRule="auto"/>
        <w:jc w:val="both"/>
      </w:pPr>
      <w:r w:rsidRPr="00E54D02">
        <w:t xml:space="preserve">Analýza Filipetiho  (2010) ukázala)  zaostávající země dohánějí vyspělejší členské státy EU, pokud jde o výkonnost. </w:t>
      </w:r>
      <w:proofErr w:type="gramStart"/>
      <w:r w:rsidRPr="00E54D02">
        <w:t>produktivity</w:t>
      </w:r>
      <w:proofErr w:type="gramEnd"/>
      <w:r w:rsidRPr="00E54D02">
        <w:t xml:space="preserve"> práce. Pro Evropu jako celek je růst produktivity tažen především prohlubováním kapitálu a změnou v kumulace technologických schopností. Naproti tomu se zdá, že TFP nemá relevantní význam. Pokud jde o zaostávající země, vzniká zde značný </w:t>
      </w:r>
      <w:r w:rsidRPr="00E54D02">
        <w:lastRenderedPageBreak/>
        <w:t>efekt dohánění, zatímco exogenní technická změna byla záporná. Naproti tomu průmyslově vyspělé země měly z exogenní technické změny značný prospěch (tato poslední složka má tendenci prohlubovat rozdíly v produktivitě práce mezi jednotlivými zeměmi) ((Filippetti &amp; Payrache, 2010).</w:t>
      </w:r>
    </w:p>
    <w:p w:rsidR="008E7EE0" w:rsidRDefault="008E7EE0" w:rsidP="00E54D02">
      <w:pPr>
        <w:spacing w:line="360" w:lineRule="auto"/>
        <w:jc w:val="both"/>
      </w:pPr>
      <w:r w:rsidRPr="008E7EE0">
        <w:t xml:space="preserve">(Hajdu, </w:t>
      </w:r>
      <w:proofErr w:type="gramStart"/>
      <w:r w:rsidRPr="008E7EE0">
        <w:t>n.d.)</w:t>
      </w:r>
      <w:proofErr w:type="gramEnd"/>
    </w:p>
    <w:p w:rsidR="008E7EE0" w:rsidRDefault="008E7EE0" w:rsidP="00E54D02">
      <w:pPr>
        <w:spacing w:line="360" w:lineRule="auto"/>
        <w:jc w:val="both"/>
      </w:pPr>
    </w:p>
    <w:p w:rsidR="0038471E" w:rsidRDefault="0038471E" w:rsidP="0038471E">
      <w:pPr>
        <w:spacing w:line="480" w:lineRule="auto"/>
        <w:ind w:hanging="480"/>
      </w:pPr>
      <w:r>
        <w:t xml:space="preserve">Fifeková, E., &amp; Vondrová, A. (2016). Catching-up Processes in Central European Countries. </w:t>
      </w:r>
      <w:r>
        <w:rPr>
          <w:i/>
          <w:iCs/>
        </w:rPr>
        <w:t>Journal of Eastern Europe Research in Business and Economics</w:t>
      </w:r>
      <w:r>
        <w:t xml:space="preserve">, 1–13. </w:t>
      </w:r>
      <w:hyperlink r:id="rId14" w:history="1">
        <w:r>
          <w:rPr>
            <w:rStyle w:val="Hypertextovodkaz"/>
          </w:rPr>
          <w:t>https://doi.org/10.5171/2016.420774</w:t>
        </w:r>
      </w:hyperlink>
    </w:p>
    <w:p w:rsidR="0038471E" w:rsidRDefault="0038471E" w:rsidP="0038471E">
      <w:pPr>
        <w:spacing w:line="480" w:lineRule="auto"/>
        <w:ind w:hanging="480"/>
      </w:pPr>
    </w:p>
    <w:p w:rsidR="00CB0990" w:rsidRDefault="008E7EE0" w:rsidP="00E54D02">
      <w:pPr>
        <w:spacing w:line="360" w:lineRule="auto"/>
        <w:jc w:val="both"/>
      </w:pPr>
      <w:r>
        <w:rPr>
          <w:rFonts w:ascii="Arial" w:hAnsi="Arial" w:cs="Arial"/>
          <w:color w:val="222222"/>
          <w:sz w:val="20"/>
          <w:szCs w:val="20"/>
          <w:shd w:val="clear" w:color="auto" w:fill="FFFFFF"/>
        </w:rPr>
        <w:t>Hajdu, P. J. L. R. M. Drivers of productivity differences in the Hungarian manufacturing sector 2014–2017. </w:t>
      </w:r>
      <w:r>
        <w:rPr>
          <w:rFonts w:ascii="Arial" w:hAnsi="Arial" w:cs="Arial"/>
          <w:i/>
          <w:iCs/>
          <w:color w:val="222222"/>
          <w:sz w:val="20"/>
          <w:szCs w:val="20"/>
          <w:shd w:val="clear" w:color="auto" w:fill="FFFFFF"/>
        </w:rPr>
        <w:t>Contention in the Reshaping Global Economy</w:t>
      </w:r>
      <w:r>
        <w:rPr>
          <w:rFonts w:ascii="Arial" w:hAnsi="Arial" w:cs="Arial"/>
          <w:color w:val="222222"/>
          <w:sz w:val="20"/>
          <w:szCs w:val="20"/>
          <w:shd w:val="clear" w:color="auto" w:fill="FFFFFF"/>
        </w:rPr>
        <w:t>, 136.</w:t>
      </w:r>
    </w:p>
    <w:p w:rsidR="008E7EE0" w:rsidRDefault="008E7EE0" w:rsidP="00E54D02">
      <w:pPr>
        <w:spacing w:line="360" w:lineRule="auto"/>
        <w:jc w:val="both"/>
      </w:pPr>
    </w:p>
    <w:p w:rsidR="008E7EE0" w:rsidRDefault="008E7EE0" w:rsidP="008E7EE0">
      <w:pPr>
        <w:spacing w:line="480" w:lineRule="auto"/>
        <w:ind w:hanging="480"/>
      </w:pPr>
      <w:r>
        <w:t xml:space="preserve">Lengyel, I., &amp; Kotosz, B. (2018). The Catching up Processes of the Regions of the Visegrad Group Countries. In </w:t>
      </w:r>
      <w:r>
        <w:rPr>
          <w:i/>
          <w:iCs/>
        </w:rPr>
        <w:t>COMPARATIVE ECONOMIC RESEARCH-CENTRAL AND EASTERN EUROPE</w:t>
      </w:r>
      <w:r>
        <w:t xml:space="preserve"> (Vol. 21, Issue 4, pp. 5–24). LODZ UNIV PRESS. </w:t>
      </w:r>
      <w:hyperlink r:id="rId15" w:history="1">
        <w:r>
          <w:rPr>
            <w:rStyle w:val="Hypertextovodkaz"/>
          </w:rPr>
          <w:t>https://doi.org/10.2478/cer-2018-0024</w:t>
        </w:r>
      </w:hyperlink>
    </w:p>
    <w:p w:rsidR="008E7EE0" w:rsidRDefault="008E7EE0" w:rsidP="00E54D02">
      <w:pPr>
        <w:spacing w:line="360" w:lineRule="auto"/>
        <w:jc w:val="both"/>
      </w:pPr>
    </w:p>
    <w:p w:rsidR="00CB0990" w:rsidRDefault="00CB0990" w:rsidP="00CB0990">
      <w:pPr>
        <w:spacing w:line="480" w:lineRule="auto"/>
        <w:ind w:hanging="480"/>
      </w:pPr>
      <w:r>
        <w:t xml:space="preserve">Jilkova, E., &amp; Zavadska, M. (2019). The Impact of Public Expenditure Efficiency on Labour Productivity in V4 Countries. In Dvorakova, P (Ed.), </w:t>
      </w:r>
      <w:r>
        <w:rPr>
          <w:i/>
          <w:iCs/>
        </w:rPr>
        <w:t>CURRENT TRENDS IN PUBLIC SECTOR RESEARCH</w:t>
      </w:r>
      <w:r>
        <w:t xml:space="preserve"> (pp. 107–114). MASARYKOVA UNIV.</w:t>
      </w:r>
    </w:p>
    <w:p w:rsidR="00CB0990" w:rsidRPr="00E54D02" w:rsidRDefault="00CB0990" w:rsidP="00E54D02">
      <w:pPr>
        <w:spacing w:line="360" w:lineRule="auto"/>
        <w:jc w:val="both"/>
      </w:pPr>
    </w:p>
    <w:p w:rsidR="00F970CB" w:rsidRDefault="00F970CB" w:rsidP="00E54D02">
      <w:pPr>
        <w:spacing w:line="360" w:lineRule="auto"/>
      </w:pPr>
    </w:p>
    <w:p w:rsidR="009944C3" w:rsidRDefault="009944C3" w:rsidP="009944C3">
      <w:pPr>
        <w:spacing w:line="480" w:lineRule="auto"/>
        <w:ind w:hanging="480"/>
      </w:pPr>
      <w:r>
        <w:t xml:space="preserve">MUCHA-LESZKO, B., &amp; KAKOL, M. K. (2021). </w:t>
      </w:r>
      <w:r>
        <w:rPr>
          <w:i/>
          <w:iCs/>
        </w:rPr>
        <w:t>Poland’s Catching-up Process in the European Union against the Background of Other Visegrad Countries</w:t>
      </w:r>
      <w:r>
        <w:t>.</w:t>
      </w:r>
    </w:p>
    <w:p w:rsidR="009944C3" w:rsidRDefault="009944C3" w:rsidP="00E54D02">
      <w:pPr>
        <w:spacing w:line="360" w:lineRule="auto"/>
      </w:pPr>
    </w:p>
    <w:p w:rsidR="009944C3" w:rsidRDefault="009944C3" w:rsidP="009944C3">
      <w:pPr>
        <w:spacing w:line="480" w:lineRule="auto"/>
        <w:ind w:hanging="480"/>
      </w:pPr>
      <w:r>
        <w:t xml:space="preserve">Vida, K. (2015). </w:t>
      </w:r>
      <w:r>
        <w:rPr>
          <w:i/>
          <w:iCs/>
        </w:rPr>
        <w:t>Analysing catching-up trends of the Visegrad countries: Heading towards more convergence</w:t>
      </w:r>
      <w:r>
        <w:t>.</w:t>
      </w:r>
    </w:p>
    <w:p w:rsidR="009944C3" w:rsidRPr="00E54D02" w:rsidRDefault="009944C3" w:rsidP="00E54D02">
      <w:pPr>
        <w:spacing w:line="360" w:lineRule="auto"/>
      </w:pPr>
    </w:p>
    <w:p w:rsidR="00012C49" w:rsidRDefault="00012C49" w:rsidP="00012C49">
      <w:pPr>
        <w:spacing w:line="480" w:lineRule="auto"/>
        <w:ind w:hanging="480"/>
      </w:pPr>
      <w:r>
        <w:lastRenderedPageBreak/>
        <w:t xml:space="preserve">Wojciechowski, L. (2016). Empirical Verification of Dynamic Dependences Between Productivity and Economy Openness. The Case of Visegrad Countries. </w:t>
      </w:r>
      <w:r>
        <w:rPr>
          <w:i/>
          <w:iCs/>
        </w:rPr>
        <w:t>Przedsiębiorczość-Edukacja</w:t>
      </w:r>
      <w:r>
        <w:t xml:space="preserve">, </w:t>
      </w:r>
      <w:r>
        <w:rPr>
          <w:i/>
          <w:iCs/>
        </w:rPr>
        <w:t>12</w:t>
      </w:r>
      <w:r>
        <w:t>, 149–162.</w:t>
      </w:r>
    </w:p>
    <w:p w:rsidR="00F970CB" w:rsidRPr="00E54D02" w:rsidRDefault="00F970CB" w:rsidP="00E54D02">
      <w:pPr>
        <w:spacing w:line="360" w:lineRule="auto"/>
      </w:pPr>
    </w:p>
    <w:p w:rsidR="00F970CB" w:rsidRPr="00E54D02" w:rsidRDefault="00F970CB" w:rsidP="00E54D02">
      <w:pPr>
        <w:spacing w:line="360" w:lineRule="auto"/>
      </w:pPr>
    </w:p>
    <w:p w:rsidR="00C9447B" w:rsidRDefault="00C9447B" w:rsidP="00C9447B">
      <w:pPr>
        <w:spacing w:line="480" w:lineRule="auto"/>
        <w:ind w:hanging="480"/>
      </w:pPr>
      <w:r>
        <w:t xml:space="preserve">Kumar, S., &amp; Russell, R. R. (2002). Technological Change, Technological Catch-up, and Capital Deepening: Relative Contributions to Growth and Convergence. </w:t>
      </w:r>
      <w:r>
        <w:rPr>
          <w:i/>
          <w:iCs/>
        </w:rPr>
        <w:t>American Economic Review</w:t>
      </w:r>
      <w:r>
        <w:t xml:space="preserve">, </w:t>
      </w:r>
      <w:r>
        <w:rPr>
          <w:i/>
          <w:iCs/>
        </w:rPr>
        <w:t>92</w:t>
      </w:r>
      <w:r>
        <w:t xml:space="preserve">(3), 527–548. </w:t>
      </w:r>
      <w:hyperlink r:id="rId16" w:history="1">
        <w:r>
          <w:rPr>
            <w:rStyle w:val="Hypertextovodkaz"/>
          </w:rPr>
          <w:t>https://doi.org/10.1257/00028280260136381</w:t>
        </w:r>
      </w:hyperlink>
    </w:p>
    <w:p w:rsidR="00F970CB" w:rsidRPr="00E54D02" w:rsidRDefault="00F970CB" w:rsidP="00E54D02">
      <w:pPr>
        <w:spacing w:line="360" w:lineRule="auto"/>
      </w:pPr>
    </w:p>
    <w:p w:rsidR="00F970CB" w:rsidRPr="00E54D02" w:rsidRDefault="00F970CB" w:rsidP="00E54D02">
      <w:pPr>
        <w:spacing w:line="360" w:lineRule="auto"/>
        <w:ind w:hanging="480"/>
      </w:pPr>
      <w:r w:rsidRPr="00E54D02">
        <w:t xml:space="preserve">Filippetti, A., &amp; Payrache, A. (2010). </w:t>
      </w:r>
      <w:r w:rsidRPr="00E54D02">
        <w:rPr>
          <w:i/>
          <w:iCs/>
        </w:rPr>
        <w:t>Productivity growth and catch up in Europe: A new perspective on total factor productivity differences</w:t>
      </w:r>
      <w:r w:rsidRPr="00E54D02">
        <w:t>.</w:t>
      </w:r>
    </w:p>
    <w:p w:rsidR="00F970CB" w:rsidRPr="00E54D02" w:rsidRDefault="00F970CB" w:rsidP="00E54D02">
      <w:pPr>
        <w:spacing w:line="360" w:lineRule="auto"/>
        <w:rPr>
          <w:color w:val="292C2E"/>
        </w:rPr>
      </w:pPr>
    </w:p>
    <w:p w:rsidR="00F970CB" w:rsidRPr="00E54D02" w:rsidRDefault="00F970CB" w:rsidP="00E54D02">
      <w:pPr>
        <w:spacing w:line="360" w:lineRule="auto"/>
        <w:rPr>
          <w:color w:val="292C2E"/>
        </w:rPr>
      </w:pPr>
    </w:p>
    <w:p w:rsidR="00940D13" w:rsidRDefault="00940D13" w:rsidP="00940D13">
      <w:pPr>
        <w:spacing w:line="480" w:lineRule="auto"/>
        <w:ind w:hanging="480"/>
      </w:pPr>
      <w:r>
        <w:t xml:space="preserve">Alvarez, R., &amp; Crespi, G. (2007). Multinational Firms and Productivity Catching-Up: The Case Of Chilean Manufacturing. </w:t>
      </w:r>
      <w:r>
        <w:rPr>
          <w:i/>
          <w:iCs/>
        </w:rPr>
        <w:t>International Journal of Technological Learning, Innovation and Development</w:t>
      </w:r>
      <w:r>
        <w:t xml:space="preserve">, </w:t>
      </w:r>
      <w:r>
        <w:rPr>
          <w:i/>
          <w:iCs/>
        </w:rPr>
        <w:t>1</w:t>
      </w:r>
      <w:r>
        <w:t xml:space="preserve">, 136–152. </w:t>
      </w:r>
      <w:hyperlink r:id="rId17" w:history="1">
        <w:r>
          <w:rPr>
            <w:rStyle w:val="Hypertextovodkaz"/>
          </w:rPr>
          <w:t>https://doi.org/10.1504/IJTLID.2007.015401</w:t>
        </w:r>
      </w:hyperlink>
    </w:p>
    <w:p w:rsidR="00F970CB" w:rsidRPr="00E54D02" w:rsidRDefault="00F970CB" w:rsidP="00E54D02">
      <w:pPr>
        <w:spacing w:line="360" w:lineRule="auto"/>
        <w:rPr>
          <w:color w:val="292C2E"/>
        </w:rPr>
      </w:pPr>
    </w:p>
    <w:p w:rsidR="00F970CB" w:rsidRPr="00E54D02" w:rsidRDefault="00F970CB" w:rsidP="00E54D02">
      <w:pPr>
        <w:spacing w:line="360" w:lineRule="auto"/>
        <w:rPr>
          <w:color w:val="292C2E"/>
        </w:rPr>
      </w:pPr>
    </w:p>
    <w:p w:rsidR="00F970CB" w:rsidRPr="00E54D02" w:rsidRDefault="00F970CB" w:rsidP="00E54D02">
      <w:pPr>
        <w:spacing w:line="360" w:lineRule="auto"/>
        <w:rPr>
          <w:color w:val="292C2E"/>
        </w:rPr>
      </w:pPr>
    </w:p>
    <w:p w:rsidR="00F970CB" w:rsidRPr="00E54D02" w:rsidRDefault="00F970CB" w:rsidP="00E54D02">
      <w:pPr>
        <w:spacing w:line="360" w:lineRule="auto"/>
        <w:rPr>
          <w:color w:val="292C2E"/>
        </w:rPr>
      </w:pPr>
    </w:p>
    <w:p w:rsidR="008079BB" w:rsidRDefault="008079BB" w:rsidP="008079BB">
      <w:pPr>
        <w:spacing w:line="480" w:lineRule="auto"/>
        <w:ind w:hanging="480"/>
      </w:pPr>
      <w:r>
        <w:t xml:space="preserve">AlKathiri, N. (2021). Labour productivity growth and convergence in manufacturing: A nonparametric production frontier approach. </w:t>
      </w:r>
      <w:r>
        <w:rPr>
          <w:i/>
          <w:iCs/>
        </w:rPr>
        <w:t>Applied Economics</w:t>
      </w:r>
      <w:r>
        <w:t xml:space="preserve">, </w:t>
      </w:r>
      <w:r>
        <w:rPr>
          <w:i/>
          <w:iCs/>
        </w:rPr>
        <w:t>0</w:t>
      </w:r>
      <w:r>
        <w:t xml:space="preserve">(0), 1–24. </w:t>
      </w:r>
      <w:hyperlink r:id="rId18" w:history="1">
        <w:r>
          <w:rPr>
            <w:rStyle w:val="Hypertextovodkaz"/>
          </w:rPr>
          <w:t>https://doi.org/10.1080/00036846.2021.1963410</w:t>
        </w:r>
      </w:hyperlink>
    </w:p>
    <w:p w:rsidR="00F970CB" w:rsidRPr="00E54D02" w:rsidRDefault="00F970CB" w:rsidP="00E54D02">
      <w:pPr>
        <w:spacing w:line="360" w:lineRule="auto"/>
        <w:rPr>
          <w:color w:val="292C2E"/>
        </w:rPr>
      </w:pPr>
    </w:p>
    <w:p w:rsidR="00F970CB" w:rsidRPr="00E54D02" w:rsidRDefault="002F651E" w:rsidP="00E54D02">
      <w:pPr>
        <w:spacing w:line="360" w:lineRule="auto"/>
        <w:rPr>
          <w:color w:val="292C2E"/>
        </w:rPr>
      </w:pPr>
      <w:r>
        <w:t>(Hodula &amp; Pfeifer, 2018)</w:t>
      </w:r>
    </w:p>
    <w:p w:rsidR="002F651E" w:rsidRDefault="002F651E" w:rsidP="002F651E">
      <w:pPr>
        <w:spacing w:line="480" w:lineRule="auto"/>
        <w:ind w:hanging="480"/>
      </w:pPr>
      <w:r>
        <w:t xml:space="preserve">Hodula, M., &amp; Pfeifer, L. (2018). The Impact of Credit Booms and Economic Policy on Labour Productivity: A Sectoral Analysis. </w:t>
      </w:r>
      <w:r>
        <w:rPr>
          <w:i/>
          <w:iCs/>
        </w:rPr>
        <w:t>Acta VŠFS</w:t>
      </w:r>
      <w:r>
        <w:t xml:space="preserve">, </w:t>
      </w:r>
      <w:r>
        <w:rPr>
          <w:i/>
          <w:iCs/>
        </w:rPr>
        <w:t>12</w:t>
      </w:r>
      <w:r>
        <w:t>, 10–42.</w:t>
      </w:r>
    </w:p>
    <w:p w:rsidR="00577155" w:rsidRPr="00E54D02" w:rsidRDefault="00577155" w:rsidP="00E54D02">
      <w:pPr>
        <w:spacing w:line="360" w:lineRule="auto"/>
        <w:rPr>
          <w:color w:val="292C2E"/>
        </w:rPr>
      </w:pPr>
    </w:p>
    <w:p w:rsidR="00AC7FCA" w:rsidRDefault="00AC7FCA" w:rsidP="00AC7FCA">
      <w:pPr>
        <w:spacing w:line="480" w:lineRule="auto"/>
        <w:ind w:hanging="480"/>
      </w:pPr>
      <w:r>
        <w:lastRenderedPageBreak/>
        <w:t xml:space="preserve">Dvoulety, O., &amp; Blazkova, I. (2021). Exploring firm-level and sectoral variation in total factor productivity (TFP). In </w:t>
      </w:r>
      <w:r>
        <w:rPr>
          <w:i/>
          <w:iCs/>
        </w:rPr>
        <w:t>INTERNATIONAL JOURNAL OF ENTREPRENEURIAL BEHAVIOR &amp; RESEARCH</w:t>
      </w:r>
      <w:r>
        <w:t xml:space="preserve"> (Vol. 27, Issue 6, pp. 1526–1547). EMERALD GROUP PUBLISHING LTD. </w:t>
      </w:r>
      <w:hyperlink r:id="rId19" w:history="1">
        <w:r>
          <w:rPr>
            <w:rStyle w:val="Hypertextovodkaz"/>
          </w:rPr>
          <w:t>https://doi.org/10.1108/IJEBR-11-2020-0744</w:t>
        </w:r>
      </w:hyperlink>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color w:val="292C2E"/>
        </w:rPr>
        <w:t>Literatura</w:t>
      </w:r>
    </w:p>
    <w:p w:rsidR="00BA6882" w:rsidRPr="00E54D02" w:rsidRDefault="00BA6882" w:rsidP="00E54D02">
      <w:pPr>
        <w:spacing w:line="360" w:lineRule="auto"/>
        <w:rPr>
          <w:color w:val="292C2E"/>
        </w:rPr>
      </w:pPr>
      <w:r w:rsidRPr="00E54D02">
        <w:rPr>
          <w:rFonts w:ascii="Arial" w:hAnsi="Arial" w:cs="Arial"/>
          <w:color w:val="222222"/>
          <w:shd w:val="clear" w:color="auto" w:fill="FFFFFF"/>
        </w:rPr>
        <w:t>Lee, K. (2013). </w:t>
      </w:r>
      <w:r w:rsidRPr="00E54D02">
        <w:rPr>
          <w:rFonts w:ascii="Arial" w:hAnsi="Arial" w:cs="Arial"/>
          <w:i/>
          <w:iCs/>
          <w:color w:val="222222"/>
          <w:shd w:val="clear" w:color="auto" w:fill="FFFFFF"/>
        </w:rPr>
        <w:t>Schumpeterian analysis of economic catch-up: Knowledge, path-creation, and the middle-income trap</w:t>
      </w:r>
      <w:r w:rsidRPr="00E54D02">
        <w:rPr>
          <w:rFonts w:ascii="Arial" w:hAnsi="Arial" w:cs="Arial"/>
          <w:color w:val="222222"/>
          <w:shd w:val="clear" w:color="auto" w:fill="FFFFFF"/>
        </w:rPr>
        <w:t>. Cambridge University Press.</w:t>
      </w:r>
    </w:p>
    <w:p w:rsidR="00577155" w:rsidRPr="00E54D02" w:rsidRDefault="00577155" w:rsidP="00E54D02">
      <w:pPr>
        <w:spacing w:line="360" w:lineRule="auto"/>
        <w:rPr>
          <w:color w:val="292C2E"/>
        </w:rPr>
      </w:pPr>
    </w:p>
    <w:p w:rsidR="00B86D94" w:rsidRPr="00E54D02" w:rsidRDefault="00B86D94" w:rsidP="00E54D02">
      <w:pPr>
        <w:spacing w:line="360" w:lineRule="auto"/>
        <w:ind w:hanging="480"/>
        <w:rPr>
          <w:lang w:eastAsia="en-GB"/>
        </w:rPr>
      </w:pPr>
      <w:r w:rsidRPr="00E54D02">
        <w:t xml:space="preserve">Kindberg-Hanlon, G., &amp; Okou, C. (2021). </w:t>
      </w:r>
      <w:r w:rsidRPr="00E54D02">
        <w:rPr>
          <w:i/>
          <w:iCs/>
        </w:rPr>
        <w:t>Productivity Convergence: Is Anyone Catching Up?</w:t>
      </w:r>
      <w:r w:rsidRPr="00E54D02">
        <w:t xml:space="preserve"> (pp. 155–208). </w:t>
      </w:r>
      <w:hyperlink r:id="rId20" w:history="1">
        <w:r w:rsidRPr="00E54D02">
          <w:rPr>
            <w:rStyle w:val="Hypertextovodkaz"/>
          </w:rPr>
          <w:t>https://doi.org/10.1596/978-1-4648-1608-6_ch4</w:t>
        </w:r>
      </w:hyperlink>
    </w:p>
    <w:p w:rsidR="00B86D94" w:rsidRPr="00E54D02" w:rsidRDefault="00B86D94" w:rsidP="00E54D02">
      <w:pPr>
        <w:spacing w:line="360" w:lineRule="auto"/>
        <w:rPr>
          <w:color w:val="333333"/>
          <w:shd w:val="clear" w:color="auto" w:fill="FAFBFC"/>
        </w:rPr>
      </w:pPr>
    </w:p>
    <w:p w:rsidR="00577155" w:rsidRPr="00E54D02" w:rsidRDefault="00577155" w:rsidP="00E54D02">
      <w:pPr>
        <w:spacing w:line="360" w:lineRule="auto"/>
        <w:rPr>
          <w:color w:val="292C2E"/>
        </w:rPr>
      </w:pPr>
      <w:r w:rsidRPr="00E54D02">
        <w:rPr>
          <w:color w:val="333333"/>
          <w:shd w:val="clear" w:color="auto" w:fill="FAFBFC"/>
        </w:rPr>
        <w:t>Rodrik, D. (2011), </w:t>
      </w:r>
      <w:r w:rsidRPr="00E54D02">
        <w:rPr>
          <w:rStyle w:val="Zdraznn"/>
          <w:color w:val="333333"/>
          <w:shd w:val="clear" w:color="auto" w:fill="FAFBFC"/>
        </w:rPr>
        <w:t>The Future of Economic Convergence</w:t>
      </w:r>
      <w:r w:rsidRPr="00E54D02">
        <w:rPr>
          <w:color w:val="333333"/>
          <w:shd w:val="clear" w:color="auto" w:fill="FAFBFC"/>
        </w:rPr>
        <w:t>, National Bureau of Economic Research, Cambridge, MA, </w:t>
      </w:r>
      <w:hyperlink r:id="rId21" w:tgtFrame="_blank" w:history="1">
        <w:r w:rsidRPr="00E54D02">
          <w:rPr>
            <w:rStyle w:val="Hypertextovodkaz"/>
            <w:color w:val="0068B6"/>
            <w:shd w:val="clear" w:color="auto" w:fill="FAFBFC"/>
          </w:rPr>
          <w:t>http://dx.doi.org/10.3386/w17400</w:t>
        </w:r>
      </w:hyperlink>
      <w:r w:rsidRPr="00E54D02">
        <w:rPr>
          <w:color w:val="333333"/>
          <w:shd w:val="clear" w:color="auto" w:fill="FAFBFC"/>
        </w:rPr>
        <w:t>.</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color w:val="222222"/>
          <w:shd w:val="clear" w:color="auto" w:fill="FFFFFF"/>
        </w:rPr>
        <w:t>Iancu, A. (2007). THE QUESTION OF ECONOMIC CONVERGENCE FIRST PART. </w:t>
      </w:r>
      <w:r w:rsidRPr="00E54D02">
        <w:rPr>
          <w:i/>
          <w:iCs/>
          <w:color w:val="222222"/>
          <w:shd w:val="clear" w:color="auto" w:fill="FFFFFF"/>
        </w:rPr>
        <w:t>Romanian Journal of Economic Forecasting</w:t>
      </w:r>
      <w:r w:rsidRPr="00E54D02">
        <w:rPr>
          <w:color w:val="222222"/>
          <w:shd w:val="clear" w:color="auto" w:fill="FFFFFF"/>
        </w:rPr>
        <w:t>, </w:t>
      </w:r>
      <w:r w:rsidRPr="00E54D02">
        <w:rPr>
          <w:i/>
          <w:iCs/>
          <w:color w:val="222222"/>
          <w:shd w:val="clear" w:color="auto" w:fill="FFFFFF"/>
        </w:rPr>
        <w:t>8</w:t>
      </w:r>
      <w:r w:rsidRPr="00E54D02">
        <w:rPr>
          <w:color w:val="222222"/>
          <w:shd w:val="clear" w:color="auto" w:fill="FFFFFF"/>
        </w:rPr>
        <w:t>(3), 5-18.</w:t>
      </w:r>
    </w:p>
    <w:p w:rsidR="00577155" w:rsidRPr="00E54D02" w:rsidRDefault="00577155" w:rsidP="00E54D02">
      <w:pPr>
        <w:spacing w:line="360" w:lineRule="auto"/>
      </w:pPr>
      <w:r w:rsidRPr="00E54D02">
        <w:t xml:space="preserve">Crespi, G., &amp; Iacovone, L. (2010). Catching up with the technological frontier:Micro-level evidence on growth and convergence. </w:t>
      </w:r>
      <w:r w:rsidRPr="00E54D02">
        <w:rPr>
          <w:i/>
          <w:iCs/>
        </w:rPr>
        <w:t>Industrial and Corporate Change</w:t>
      </w:r>
      <w:r w:rsidRPr="00E54D02">
        <w:t xml:space="preserve">, </w:t>
      </w:r>
      <w:r w:rsidRPr="00E54D02">
        <w:rPr>
          <w:i/>
          <w:iCs/>
        </w:rPr>
        <w:t>19</w:t>
      </w:r>
      <w:r w:rsidRPr="00E54D02">
        <w:t xml:space="preserve">, 2073–2096. </w:t>
      </w:r>
      <w:hyperlink r:id="rId22" w:history="1">
        <w:r w:rsidRPr="00E54D02">
          <w:rPr>
            <w:color w:val="0000FF"/>
            <w:u w:val="single"/>
          </w:rPr>
          <w:t>https://doi.org/10.1093/icc/dtq057</w:t>
        </w:r>
      </w:hyperlink>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color w:val="222222"/>
          <w:shd w:val="clear" w:color="auto" w:fill="FFFFFF"/>
        </w:rPr>
        <w:t>Solow, R. M. (1957). Technical change and the aggregate production function. </w:t>
      </w:r>
      <w:r w:rsidRPr="00E54D02">
        <w:rPr>
          <w:i/>
          <w:iCs/>
          <w:color w:val="222222"/>
          <w:shd w:val="clear" w:color="auto" w:fill="FFFFFF"/>
        </w:rPr>
        <w:t>The review of Economics and Statistics</w:t>
      </w:r>
      <w:r w:rsidRPr="00E54D02">
        <w:rPr>
          <w:color w:val="222222"/>
          <w:shd w:val="clear" w:color="auto" w:fill="FFFFFF"/>
        </w:rPr>
        <w:t>, 312-320.</w:t>
      </w:r>
    </w:p>
    <w:p w:rsidR="00577155" w:rsidRPr="00E54D02" w:rsidRDefault="00577155" w:rsidP="00E54D02">
      <w:pPr>
        <w:spacing w:line="360" w:lineRule="auto"/>
      </w:pPr>
      <w:r w:rsidRPr="00E54D02">
        <w:t xml:space="preserve">M\lynarzewska-Borowiec, I. (2017). Neoclassical and technological catching-up as the channels of the real convergence process in the European Union. </w:t>
      </w:r>
      <w:r w:rsidRPr="00E54D02">
        <w:rPr>
          <w:i/>
          <w:iCs/>
        </w:rPr>
        <w:t>International Journal of Business and Economic Sciences Applied Research (IJBESAR)</w:t>
      </w:r>
      <w:r w:rsidRPr="00E54D02">
        <w:t xml:space="preserve">, </w:t>
      </w:r>
      <w:r w:rsidRPr="00E54D02">
        <w:rPr>
          <w:i/>
          <w:iCs/>
        </w:rPr>
        <w:t>10</w:t>
      </w:r>
      <w:r w:rsidRPr="00E54D02">
        <w:t xml:space="preserve">(2), 7–18. </w:t>
      </w:r>
      <w:hyperlink r:id="rId23" w:history="1">
        <w:r w:rsidRPr="00E54D02">
          <w:rPr>
            <w:color w:val="0000FF"/>
            <w:u w:val="single"/>
          </w:rPr>
          <w:t>https://doi.org/10.25103/ijbesar.102.01</w:t>
        </w:r>
      </w:hyperlink>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t xml:space="preserve">Dowrick S. and Rogers </w:t>
      </w:r>
      <w:proofErr w:type="gramStart"/>
      <w:r w:rsidRPr="00E54D02">
        <w:t>M. ,2002</w:t>
      </w:r>
      <w:proofErr w:type="gramEnd"/>
      <w:r w:rsidRPr="00E54D02">
        <w:t>, Classical and Technological Convergence: beyond the Solow-Swan Growth Model, Oxford Economic Papers, Vol.54, pp. 369-385</w:t>
      </w:r>
    </w:p>
    <w:p w:rsidR="00577155" w:rsidRPr="00E54D02" w:rsidRDefault="00577155" w:rsidP="00E54D02">
      <w:pPr>
        <w:spacing w:line="360" w:lineRule="auto"/>
        <w:ind w:hanging="480"/>
      </w:pPr>
      <w:r w:rsidRPr="00E54D02">
        <w:lastRenderedPageBreak/>
        <w:t xml:space="preserve">   </w:t>
      </w:r>
    </w:p>
    <w:p w:rsidR="00577155" w:rsidRPr="00E54D02" w:rsidRDefault="00577155" w:rsidP="00E54D02">
      <w:pPr>
        <w:spacing w:line="360" w:lineRule="auto"/>
        <w:ind w:hanging="480"/>
      </w:pPr>
      <w:r w:rsidRPr="00E54D02">
        <w:t xml:space="preserve"> Fischer, C. (2012). Price convergence in the EMU? Evidence from micro data. </w:t>
      </w:r>
      <w:r w:rsidRPr="00E54D02">
        <w:rPr>
          <w:i/>
          <w:iCs/>
        </w:rPr>
        <w:t>European Economic Review</w:t>
      </w:r>
      <w:r w:rsidRPr="00E54D02">
        <w:t xml:space="preserve">, </w:t>
      </w:r>
      <w:r w:rsidRPr="00E54D02">
        <w:rPr>
          <w:i/>
          <w:iCs/>
        </w:rPr>
        <w:t>56</w:t>
      </w:r>
      <w:r w:rsidRPr="00E54D02">
        <w:t xml:space="preserve">(4), 757–776. </w:t>
      </w:r>
      <w:hyperlink r:id="rId24" w:history="1">
        <w:r w:rsidRPr="00E54D02">
          <w:rPr>
            <w:color w:val="0000FF"/>
            <w:u w:val="single"/>
          </w:rPr>
          <w:t>https://doi.org/10.1016/j.euroecorev.2012.01.008</w:t>
        </w:r>
      </w:hyperlink>
    </w:p>
    <w:p w:rsidR="00577155" w:rsidRPr="00E54D02" w:rsidRDefault="00577155" w:rsidP="00E54D02">
      <w:pPr>
        <w:spacing w:line="360" w:lineRule="auto"/>
        <w:rPr>
          <w:color w:val="292C2E"/>
        </w:rPr>
      </w:pPr>
    </w:p>
    <w:p w:rsidR="00577155" w:rsidRPr="00E54D02" w:rsidRDefault="00577155" w:rsidP="00E54D02">
      <w:pPr>
        <w:spacing w:line="360" w:lineRule="auto"/>
        <w:rPr>
          <w:color w:val="222222"/>
          <w:shd w:val="clear" w:color="auto" w:fill="FFFFFF"/>
        </w:rPr>
      </w:pPr>
      <w:r w:rsidRPr="00E54D02">
        <w:rPr>
          <w:color w:val="222222"/>
          <w:shd w:val="clear" w:color="auto" w:fill="FFFFFF"/>
        </w:rPr>
        <w:t>Rassekh, F. (1998). The convergence hypothesis: History, theory, and evidence. </w:t>
      </w:r>
      <w:r w:rsidRPr="00E54D02">
        <w:rPr>
          <w:i/>
          <w:iCs/>
          <w:color w:val="222222"/>
          <w:shd w:val="clear" w:color="auto" w:fill="FFFFFF"/>
        </w:rPr>
        <w:t>Open economies review</w:t>
      </w:r>
      <w:r w:rsidRPr="00E54D02">
        <w:rPr>
          <w:color w:val="222222"/>
          <w:shd w:val="clear" w:color="auto" w:fill="FFFFFF"/>
        </w:rPr>
        <w:t>, </w:t>
      </w:r>
      <w:r w:rsidRPr="00E54D02">
        <w:rPr>
          <w:i/>
          <w:iCs/>
          <w:color w:val="222222"/>
          <w:shd w:val="clear" w:color="auto" w:fill="FFFFFF"/>
        </w:rPr>
        <w:t>9</w:t>
      </w:r>
      <w:r w:rsidRPr="00E54D02">
        <w:rPr>
          <w:color w:val="222222"/>
          <w:shd w:val="clear" w:color="auto" w:fill="FFFFFF"/>
        </w:rPr>
        <w:t>(1), 85-105.</w:t>
      </w:r>
    </w:p>
    <w:p w:rsidR="00577155" w:rsidRPr="00E54D02" w:rsidRDefault="00577155" w:rsidP="00E54D02">
      <w:pPr>
        <w:spacing w:line="360" w:lineRule="auto"/>
        <w:rPr>
          <w:color w:val="222222"/>
          <w:shd w:val="clear" w:color="auto" w:fill="FFFFFF"/>
        </w:rPr>
      </w:pPr>
    </w:p>
    <w:p w:rsidR="00577155" w:rsidRPr="00E54D02" w:rsidRDefault="00577155" w:rsidP="00E54D02">
      <w:pPr>
        <w:spacing w:line="360" w:lineRule="auto"/>
        <w:rPr>
          <w:color w:val="222222"/>
          <w:shd w:val="clear" w:color="auto" w:fill="FFFFFF"/>
        </w:rPr>
      </w:pPr>
      <w:r w:rsidRPr="00E54D02">
        <w:rPr>
          <w:color w:val="222222"/>
          <w:shd w:val="clear" w:color="auto" w:fill="FFFFFF"/>
        </w:rPr>
        <w:t>Šikulová, I. (2006). </w:t>
      </w:r>
      <w:r w:rsidRPr="00E54D02">
        <w:rPr>
          <w:i/>
          <w:iCs/>
          <w:color w:val="222222"/>
          <w:shd w:val="clear" w:color="auto" w:fill="FFFFFF"/>
        </w:rPr>
        <w:t>Konvergencia v procese európskej menovej integrácie</w:t>
      </w:r>
      <w:r w:rsidRPr="00E54D02">
        <w:rPr>
          <w:color w:val="222222"/>
          <w:shd w:val="clear" w:color="auto" w:fill="FFFFFF"/>
        </w:rPr>
        <w:t>. Ekonomický Ústav Slovenskej Akad. Vied.</w:t>
      </w:r>
    </w:p>
    <w:p w:rsidR="00577155" w:rsidRPr="00E54D02" w:rsidRDefault="00577155" w:rsidP="00E54D02">
      <w:pPr>
        <w:spacing w:line="360" w:lineRule="auto"/>
        <w:rPr>
          <w:color w:val="222222"/>
          <w:shd w:val="clear" w:color="auto" w:fill="FFFFFF"/>
        </w:rPr>
      </w:pPr>
    </w:p>
    <w:p w:rsidR="00577155" w:rsidRPr="00E54D02" w:rsidRDefault="00577155" w:rsidP="00E54D02">
      <w:pPr>
        <w:spacing w:line="360" w:lineRule="auto"/>
        <w:rPr>
          <w:color w:val="222222"/>
          <w:shd w:val="clear" w:color="auto" w:fill="FFFFFF"/>
        </w:rPr>
      </w:pPr>
      <w:r w:rsidRPr="00E54D02">
        <w:rPr>
          <w:color w:val="222222"/>
          <w:shd w:val="clear" w:color="auto" w:fill="FFFFFF"/>
        </w:rPr>
        <w:t>Rassekh, F., &amp; Thompson, H. (1998). Micro convergence and macro convergence: Factor price equalization and per capita income. </w:t>
      </w:r>
      <w:r w:rsidRPr="00E54D02">
        <w:rPr>
          <w:i/>
          <w:iCs/>
          <w:color w:val="222222"/>
          <w:shd w:val="clear" w:color="auto" w:fill="FFFFFF"/>
        </w:rPr>
        <w:t>Pacific Economic Review</w:t>
      </w:r>
      <w:r w:rsidRPr="00E54D02">
        <w:rPr>
          <w:color w:val="222222"/>
          <w:shd w:val="clear" w:color="auto" w:fill="FFFFFF"/>
        </w:rPr>
        <w:t>, </w:t>
      </w:r>
      <w:r w:rsidRPr="00E54D02">
        <w:rPr>
          <w:i/>
          <w:iCs/>
          <w:color w:val="222222"/>
          <w:shd w:val="clear" w:color="auto" w:fill="FFFFFF"/>
        </w:rPr>
        <w:t>3</w:t>
      </w:r>
      <w:r w:rsidRPr="00E54D02">
        <w:rPr>
          <w:color w:val="222222"/>
          <w:shd w:val="clear" w:color="auto" w:fill="FFFFFF"/>
        </w:rPr>
        <w:t>(1), 3-11.</w:t>
      </w:r>
    </w:p>
    <w:p w:rsidR="00577155" w:rsidRPr="00E54D02" w:rsidRDefault="00577155" w:rsidP="00E54D02">
      <w:pPr>
        <w:spacing w:line="360" w:lineRule="auto"/>
        <w:rPr>
          <w:color w:val="222222"/>
          <w:shd w:val="clear" w:color="auto" w:fill="FFFFFF"/>
        </w:rPr>
      </w:pPr>
      <w:r w:rsidRPr="00E54D02">
        <w:rPr>
          <w:color w:val="222222"/>
          <w:shd w:val="clear" w:color="auto" w:fill="FFFFFF"/>
        </w:rPr>
        <w:t>Barro, R. J., &amp; Sala-i-Martin, X. (1992). Convergence. </w:t>
      </w:r>
      <w:r w:rsidRPr="00E54D02">
        <w:rPr>
          <w:i/>
          <w:iCs/>
          <w:color w:val="222222"/>
          <w:shd w:val="clear" w:color="auto" w:fill="FFFFFF"/>
        </w:rPr>
        <w:t>Journal of political Economy</w:t>
      </w:r>
      <w:r w:rsidRPr="00E54D02">
        <w:rPr>
          <w:color w:val="222222"/>
          <w:shd w:val="clear" w:color="auto" w:fill="FFFFFF"/>
        </w:rPr>
        <w:t>, </w:t>
      </w:r>
      <w:r w:rsidRPr="00E54D02">
        <w:rPr>
          <w:i/>
          <w:iCs/>
          <w:color w:val="222222"/>
          <w:shd w:val="clear" w:color="auto" w:fill="FFFFFF"/>
        </w:rPr>
        <w:t>100</w:t>
      </w:r>
      <w:r w:rsidRPr="00E54D02">
        <w:rPr>
          <w:color w:val="222222"/>
          <w:shd w:val="clear" w:color="auto" w:fill="FFFFFF"/>
        </w:rPr>
        <w:t>(2), 223-251.</w:t>
      </w:r>
    </w:p>
    <w:p w:rsidR="00577155" w:rsidRPr="00E54D02" w:rsidRDefault="00577155" w:rsidP="00E54D02">
      <w:pPr>
        <w:spacing w:line="360" w:lineRule="auto"/>
        <w:rPr>
          <w:color w:val="222222"/>
          <w:shd w:val="clear" w:color="auto" w:fill="FFFFFF"/>
        </w:rPr>
      </w:pPr>
    </w:p>
    <w:p w:rsidR="00577155" w:rsidRPr="00E54D02" w:rsidRDefault="00577155" w:rsidP="00E54D02">
      <w:pPr>
        <w:spacing w:line="360" w:lineRule="auto"/>
        <w:rPr>
          <w:color w:val="222222"/>
          <w:shd w:val="clear" w:color="auto" w:fill="FFFFFF"/>
        </w:rPr>
      </w:pPr>
      <w:r w:rsidRPr="00E54D02">
        <w:rPr>
          <w:color w:val="222222"/>
          <w:shd w:val="clear" w:color="auto" w:fill="FFFFFF"/>
        </w:rPr>
        <w:t>Rui, L., Sinevičienė, L., Melnyk, L., Kubatko, O., Karintseva, O., &amp; Lyulyov, O. (2019). Economic and environmental convergence of transformation economy: The case of China. </w:t>
      </w:r>
      <w:r w:rsidRPr="00E54D02">
        <w:rPr>
          <w:i/>
          <w:iCs/>
          <w:color w:val="222222"/>
          <w:shd w:val="clear" w:color="auto" w:fill="FFFFFF"/>
        </w:rPr>
        <w:t>Problems and Perspectives in Management</w:t>
      </w:r>
      <w:r w:rsidRPr="00E54D02">
        <w:rPr>
          <w:color w:val="222222"/>
          <w:shd w:val="clear" w:color="auto" w:fill="FFFFFF"/>
        </w:rPr>
        <w:t>, </w:t>
      </w:r>
      <w:r w:rsidRPr="00E54D02">
        <w:rPr>
          <w:i/>
          <w:iCs/>
          <w:color w:val="222222"/>
          <w:shd w:val="clear" w:color="auto" w:fill="FFFFFF"/>
        </w:rPr>
        <w:t>17</w:t>
      </w:r>
      <w:r w:rsidRPr="00E54D02">
        <w:rPr>
          <w:color w:val="222222"/>
          <w:shd w:val="clear" w:color="auto" w:fill="FFFFFF"/>
        </w:rPr>
        <w:t>(3), 233-241.</w:t>
      </w:r>
    </w:p>
    <w:p w:rsidR="00577155" w:rsidRPr="00E54D02" w:rsidRDefault="00577155" w:rsidP="00E54D02">
      <w:pPr>
        <w:spacing w:line="360" w:lineRule="auto"/>
        <w:rPr>
          <w:color w:val="222222"/>
          <w:shd w:val="clear" w:color="auto" w:fill="FFFFFF"/>
        </w:rPr>
      </w:pPr>
      <w:r w:rsidRPr="00E54D02">
        <w:rPr>
          <w:color w:val="222222"/>
          <w:shd w:val="clear" w:color="auto" w:fill="FFFFFF"/>
        </w:rPr>
        <w:t xml:space="preserve">Cartone, A., Postiglione, P., &amp; Hewings, G. J. D. (2021). Does economic convergence hold? A spatial quantile analysis on European regions. Economic Modelling, 95, 408–417. </w:t>
      </w:r>
      <w:hyperlink r:id="rId25" w:history="1">
        <w:r w:rsidRPr="00E54D02">
          <w:rPr>
            <w:rStyle w:val="Hypertextovodkaz"/>
            <w:shd w:val="clear" w:color="auto" w:fill="FFFFFF"/>
          </w:rPr>
          <w:t>https://doi.org/10.1016/j.econmod.2020.03.008</w:t>
        </w:r>
      </w:hyperlink>
    </w:p>
    <w:p w:rsidR="00577155" w:rsidRPr="00E54D02" w:rsidRDefault="00577155" w:rsidP="00E54D02">
      <w:pPr>
        <w:spacing w:line="360" w:lineRule="auto"/>
        <w:rPr>
          <w:color w:val="222222"/>
          <w:shd w:val="clear" w:color="auto" w:fill="FFFFFF"/>
        </w:rPr>
      </w:pPr>
    </w:p>
    <w:p w:rsidR="00577155" w:rsidRPr="00E54D02" w:rsidRDefault="00577155" w:rsidP="00E54D02">
      <w:pPr>
        <w:spacing w:line="360" w:lineRule="auto"/>
        <w:rPr>
          <w:color w:val="222222"/>
          <w:shd w:val="clear" w:color="auto" w:fill="FFFFFF"/>
        </w:rPr>
      </w:pPr>
      <w:r w:rsidRPr="00E54D02">
        <w:rPr>
          <w:color w:val="222222"/>
          <w:shd w:val="clear" w:color="auto" w:fill="FFFFFF"/>
        </w:rPr>
        <w:t>Solow, R. M. (1956). A contribution to the theory of economic growth. </w:t>
      </w:r>
      <w:r w:rsidRPr="00E54D02">
        <w:rPr>
          <w:i/>
          <w:iCs/>
          <w:color w:val="222222"/>
          <w:shd w:val="clear" w:color="auto" w:fill="FFFFFF"/>
        </w:rPr>
        <w:t>The quarterly journal of economics</w:t>
      </w:r>
      <w:r w:rsidRPr="00E54D02">
        <w:rPr>
          <w:color w:val="222222"/>
          <w:shd w:val="clear" w:color="auto" w:fill="FFFFFF"/>
        </w:rPr>
        <w:t>, </w:t>
      </w:r>
      <w:r w:rsidRPr="00E54D02">
        <w:rPr>
          <w:i/>
          <w:iCs/>
          <w:color w:val="222222"/>
          <w:shd w:val="clear" w:color="auto" w:fill="FFFFFF"/>
        </w:rPr>
        <w:t>70</w:t>
      </w:r>
      <w:r w:rsidRPr="00E54D02">
        <w:rPr>
          <w:color w:val="222222"/>
          <w:shd w:val="clear" w:color="auto" w:fill="FFFFFF"/>
        </w:rPr>
        <w:t>(1), 65-94.</w:t>
      </w:r>
    </w:p>
    <w:p w:rsidR="00577155" w:rsidRPr="00E54D02" w:rsidRDefault="00577155" w:rsidP="00E54D02">
      <w:pPr>
        <w:spacing w:line="360" w:lineRule="auto"/>
        <w:rPr>
          <w:color w:val="222222"/>
          <w:shd w:val="clear" w:color="auto" w:fill="FFFFFF"/>
        </w:rPr>
      </w:pPr>
      <w:r w:rsidRPr="00E54D02">
        <w:rPr>
          <w:color w:val="222222"/>
          <w:shd w:val="clear" w:color="auto" w:fill="FFFFFF"/>
        </w:rPr>
        <w:t>Romer, P. M. (1986). Increasing returns and long-run growth. </w:t>
      </w:r>
      <w:r w:rsidRPr="00E54D02">
        <w:rPr>
          <w:i/>
          <w:iCs/>
          <w:color w:val="222222"/>
          <w:shd w:val="clear" w:color="auto" w:fill="FFFFFF"/>
        </w:rPr>
        <w:t>Journal of political economy</w:t>
      </w:r>
      <w:r w:rsidRPr="00E54D02">
        <w:rPr>
          <w:color w:val="222222"/>
          <w:shd w:val="clear" w:color="auto" w:fill="FFFFFF"/>
        </w:rPr>
        <w:t>, </w:t>
      </w:r>
      <w:r w:rsidRPr="00E54D02">
        <w:rPr>
          <w:i/>
          <w:iCs/>
          <w:color w:val="222222"/>
          <w:shd w:val="clear" w:color="auto" w:fill="FFFFFF"/>
        </w:rPr>
        <w:t>94</w:t>
      </w:r>
      <w:r w:rsidRPr="00E54D02">
        <w:rPr>
          <w:color w:val="222222"/>
          <w:shd w:val="clear" w:color="auto" w:fill="FFFFFF"/>
        </w:rPr>
        <w:t>(5), 1002-1037.</w:t>
      </w:r>
    </w:p>
    <w:p w:rsidR="00577155" w:rsidRPr="00E54D02" w:rsidRDefault="00577155" w:rsidP="00E54D02">
      <w:pPr>
        <w:spacing w:line="360" w:lineRule="auto"/>
        <w:rPr>
          <w:color w:val="222222"/>
          <w:shd w:val="clear" w:color="auto" w:fill="FFFFFF"/>
        </w:rPr>
      </w:pPr>
    </w:p>
    <w:p w:rsidR="00577155" w:rsidRPr="00E54D02" w:rsidRDefault="00577155" w:rsidP="00E54D02">
      <w:pPr>
        <w:spacing w:line="360" w:lineRule="auto"/>
        <w:rPr>
          <w:color w:val="222222"/>
          <w:shd w:val="clear" w:color="auto" w:fill="FFFFFF"/>
        </w:rPr>
      </w:pPr>
      <w:r w:rsidRPr="00E54D02">
        <w:t>ŽĎÁREK, V. (2006). Nominální konvergence v České republice – vybrané aspekty a implikace. Working Paper CES VŠEM, No. 6/2006. Praha: Centrum ekonomických studií Vysoké školy ekonomie a managementu.</w:t>
      </w:r>
    </w:p>
    <w:p w:rsidR="00577155" w:rsidRPr="00E54D02" w:rsidRDefault="00577155" w:rsidP="00E54D02">
      <w:pPr>
        <w:shd w:val="clear" w:color="auto" w:fill="FFFFFF"/>
        <w:spacing w:line="360" w:lineRule="auto"/>
        <w:textAlignment w:val="baseline"/>
        <w:outlineLvl w:val="0"/>
        <w:rPr>
          <w:color w:val="333333"/>
          <w:spacing w:val="5"/>
          <w:kern w:val="36"/>
          <w:lang w:val="en-GB" w:eastAsia="en-GB"/>
        </w:rPr>
      </w:pPr>
    </w:p>
    <w:p w:rsidR="00577155" w:rsidRPr="00E54D02" w:rsidRDefault="00577155" w:rsidP="00E54D02">
      <w:pPr>
        <w:shd w:val="clear" w:color="auto" w:fill="FFFFFF"/>
        <w:spacing w:line="360" w:lineRule="auto"/>
        <w:textAlignment w:val="baseline"/>
        <w:outlineLvl w:val="0"/>
        <w:rPr>
          <w:color w:val="333333"/>
          <w:spacing w:val="5"/>
          <w:kern w:val="36"/>
          <w:lang w:val="en-GB" w:eastAsia="en-GB"/>
        </w:rPr>
      </w:pPr>
      <w:r w:rsidRPr="00E54D02">
        <w:rPr>
          <w:color w:val="333333"/>
          <w:spacing w:val="5"/>
          <w:kern w:val="36"/>
          <w:lang w:val="en-GB" w:eastAsia="en-GB"/>
        </w:rPr>
        <w:t>Regional Policy, Economic Growth and Convergence</w:t>
      </w:r>
    </w:p>
    <w:p w:rsidR="00577155" w:rsidRPr="00E54D02" w:rsidRDefault="00577155" w:rsidP="00E54D02">
      <w:pPr>
        <w:spacing w:line="360" w:lineRule="auto"/>
      </w:pPr>
    </w:p>
    <w:p w:rsidR="00577155" w:rsidRPr="00E54D02" w:rsidRDefault="00577155" w:rsidP="00E54D02">
      <w:pPr>
        <w:pStyle w:val="Nadpis1"/>
        <w:shd w:val="clear" w:color="auto" w:fill="FFFFFF"/>
        <w:spacing w:before="0" w:line="360" w:lineRule="auto"/>
        <w:rPr>
          <w:rFonts w:ascii="Times New Roman" w:hAnsi="Times New Roman" w:cs="Times New Roman"/>
          <w:b/>
          <w:bCs/>
          <w:color w:val="212529"/>
          <w:sz w:val="24"/>
          <w:szCs w:val="24"/>
        </w:rPr>
      </w:pPr>
      <w:r w:rsidRPr="00E54D02">
        <w:rPr>
          <w:rFonts w:ascii="Times New Roman" w:hAnsi="Times New Roman" w:cs="Times New Roman"/>
          <w:color w:val="212529"/>
          <w:sz w:val="24"/>
          <w:szCs w:val="24"/>
        </w:rPr>
        <w:lastRenderedPageBreak/>
        <w:t>Economic Growth and Convergence</w:t>
      </w:r>
      <w:r w:rsidRPr="00E54D02">
        <w:rPr>
          <w:rFonts w:ascii="Times New Roman" w:hAnsi="Times New Roman" w:cs="Times New Roman"/>
          <w:color w:val="212529"/>
          <w:sz w:val="24"/>
          <w:szCs w:val="24"/>
        </w:rPr>
        <w:br/>
        <w:t>Global Analysis through Econometric and Hidden Markov Models</w:t>
      </w:r>
    </w:p>
    <w:p w:rsidR="00577155" w:rsidRPr="00E54D02" w:rsidRDefault="00577155" w:rsidP="00E54D02">
      <w:pPr>
        <w:spacing w:line="360" w:lineRule="auto"/>
      </w:pPr>
    </w:p>
    <w:p w:rsidR="00577155" w:rsidRPr="00E54D02" w:rsidRDefault="00577155" w:rsidP="00E54D02">
      <w:pPr>
        <w:spacing w:line="360" w:lineRule="auto"/>
      </w:pPr>
    </w:p>
    <w:p w:rsidR="00577155" w:rsidRPr="00E54D02" w:rsidRDefault="00577155" w:rsidP="00E54D02">
      <w:pPr>
        <w:spacing w:line="360" w:lineRule="auto"/>
        <w:rPr>
          <w:color w:val="222222"/>
          <w:shd w:val="clear" w:color="auto" w:fill="FFFFFF"/>
        </w:rPr>
      </w:pPr>
      <w:r w:rsidRPr="00E54D02">
        <w:rPr>
          <w:color w:val="222222"/>
          <w:shd w:val="clear" w:color="auto" w:fill="FFFFFF"/>
        </w:rPr>
        <w:t>Hančlová, J., Kubicová, I., Macháček, M., Melecký, A., Melecký, L., Melecký, M., ... &amp; Ramík, J. (2010). Makroekonometrické modelování české ekonomiky a vybraných ekonomik EU. </w:t>
      </w:r>
      <w:r w:rsidRPr="00E54D02">
        <w:rPr>
          <w:i/>
          <w:iCs/>
          <w:color w:val="222222"/>
          <w:shd w:val="clear" w:color="auto" w:fill="FFFFFF"/>
        </w:rPr>
        <w:t>Ostrava: VŠB-TU</w:t>
      </w:r>
      <w:r w:rsidRPr="00E54D02">
        <w:rPr>
          <w:color w:val="222222"/>
          <w:shd w:val="clear" w:color="auto" w:fill="FFFFFF"/>
        </w:rPr>
        <w:t>.</w:t>
      </w:r>
    </w:p>
    <w:p w:rsidR="00577155" w:rsidRPr="00E54D02" w:rsidRDefault="00577155" w:rsidP="00E54D02">
      <w:pPr>
        <w:spacing w:line="360" w:lineRule="auto"/>
        <w:rPr>
          <w:color w:val="222222"/>
          <w:shd w:val="clear" w:color="auto" w:fill="FFFFFF"/>
        </w:rPr>
      </w:pPr>
      <w:r w:rsidRPr="00E54D02">
        <w:rPr>
          <w:color w:val="222222"/>
          <w:shd w:val="clear" w:color="auto" w:fill="FFFFFF"/>
        </w:rPr>
        <w:t>Drastichová, M. (2012). The relations of real and nominal convergence in the EU with impacts on the euro area participation.</w:t>
      </w:r>
    </w:p>
    <w:p w:rsidR="00577155" w:rsidRPr="00E54D02" w:rsidRDefault="00577155" w:rsidP="00E54D02">
      <w:pPr>
        <w:spacing w:line="360" w:lineRule="auto"/>
        <w:rPr>
          <w:color w:val="222222"/>
          <w:shd w:val="clear" w:color="auto" w:fill="FFFFFF"/>
        </w:rPr>
      </w:pPr>
    </w:p>
    <w:p w:rsidR="00577155" w:rsidRPr="00E54D02" w:rsidRDefault="00577155" w:rsidP="00E54D02">
      <w:pPr>
        <w:pStyle w:val="References"/>
        <w:spacing w:line="360" w:lineRule="auto"/>
        <w:rPr>
          <w:rFonts w:eastAsia="Times New Roman"/>
          <w:sz w:val="24"/>
          <w:szCs w:val="24"/>
          <w:lang w:val="en-GB" w:eastAsia="cs-CZ"/>
        </w:rPr>
      </w:pPr>
      <w:r w:rsidRPr="00E54D02">
        <w:rPr>
          <w:rFonts w:eastAsia="Times New Roman"/>
          <w:sz w:val="24"/>
          <w:szCs w:val="24"/>
          <w:lang w:val="en-GB" w:eastAsia="cs-CZ"/>
        </w:rPr>
        <w:t>Baumol, W. J. (1986). Productivity growth, convergence, and welfare: what the long-run data show. The American Economic Review, 76 (5)</w:t>
      </w:r>
      <w:proofErr w:type="gramStart"/>
      <w:r w:rsidRPr="00E54D02">
        <w:rPr>
          <w:rFonts w:eastAsia="Times New Roman"/>
          <w:sz w:val="24"/>
          <w:szCs w:val="24"/>
          <w:lang w:val="en-GB" w:eastAsia="cs-CZ"/>
        </w:rPr>
        <w:t>,  1072</w:t>
      </w:r>
      <w:proofErr w:type="gramEnd"/>
      <w:r w:rsidRPr="00E54D02">
        <w:rPr>
          <w:rFonts w:eastAsia="Times New Roman"/>
          <w:sz w:val="24"/>
          <w:szCs w:val="24"/>
          <w:lang w:val="en-GB" w:eastAsia="cs-CZ"/>
        </w:rPr>
        <w:t>-1085.</w:t>
      </w:r>
    </w:p>
    <w:p w:rsidR="00075DAF" w:rsidRDefault="00075DAF" w:rsidP="00075DAF">
      <w:pPr>
        <w:spacing w:line="480" w:lineRule="auto"/>
        <w:ind w:hanging="480"/>
      </w:pPr>
    </w:p>
    <w:p w:rsidR="00075DAF" w:rsidRDefault="00075DAF" w:rsidP="00075DAF">
      <w:pPr>
        <w:spacing w:line="480" w:lineRule="auto"/>
        <w:ind w:hanging="480"/>
      </w:pPr>
      <w:r>
        <w:t xml:space="preserve">Spinola, D. (2020). Uneven development and the balance of payments constrained model: Terms of trade, economic cycles, and productivity catching-up. In </w:t>
      </w:r>
      <w:r>
        <w:rPr>
          <w:i/>
          <w:iCs/>
        </w:rPr>
        <w:t>STRUCTURAL CHANGE AND ECONOMIC DYNAMICS</w:t>
      </w:r>
      <w:r>
        <w:t xml:space="preserve"> (Vol. 54, pp. 220–232). ELSEVIER. </w:t>
      </w:r>
      <w:hyperlink r:id="rId26" w:history="1">
        <w:r>
          <w:rPr>
            <w:rStyle w:val="Hypertextovodkaz"/>
          </w:rPr>
          <w:t>https://doi.org/10.1016/j.strueco.2020.05.007</w:t>
        </w:r>
      </w:hyperlink>
    </w:p>
    <w:p w:rsidR="00577155" w:rsidRPr="00E54D02" w:rsidRDefault="00577155" w:rsidP="00E54D02">
      <w:pPr>
        <w:pStyle w:val="References"/>
        <w:spacing w:line="360" w:lineRule="auto"/>
        <w:rPr>
          <w:rFonts w:eastAsia="Times New Roman"/>
          <w:sz w:val="24"/>
          <w:szCs w:val="24"/>
          <w:lang w:val="en-GB" w:eastAsia="cs-CZ"/>
        </w:rPr>
      </w:pPr>
    </w:p>
    <w:p w:rsidR="00577155" w:rsidRPr="00E54D02" w:rsidRDefault="00577155" w:rsidP="00E54D02">
      <w:pPr>
        <w:pStyle w:val="References"/>
        <w:spacing w:line="360" w:lineRule="auto"/>
        <w:rPr>
          <w:rFonts w:eastAsia="Times New Roman"/>
          <w:sz w:val="24"/>
          <w:szCs w:val="24"/>
          <w:lang w:val="en-GB" w:eastAsia="cs-CZ"/>
        </w:rPr>
      </w:pPr>
    </w:p>
    <w:p w:rsidR="00577155" w:rsidRPr="00E54D02" w:rsidRDefault="00577155" w:rsidP="00E54D02">
      <w:pPr>
        <w:pStyle w:val="References"/>
        <w:spacing w:line="360" w:lineRule="auto"/>
        <w:rPr>
          <w:rFonts w:eastAsia="Times New Roman"/>
          <w:sz w:val="24"/>
          <w:szCs w:val="24"/>
          <w:lang w:val="en-GB" w:eastAsia="cs-CZ"/>
        </w:rPr>
      </w:pPr>
      <w:r w:rsidRPr="00E54D02">
        <w:rPr>
          <w:rFonts w:eastAsia="Times New Roman"/>
          <w:sz w:val="24"/>
          <w:szCs w:val="24"/>
          <w:lang w:val="en-GB" w:eastAsia="cs-CZ"/>
        </w:rPr>
        <w:t>Slavík, C. (2007). Reálná konvergence õeské republiky к evropské unii v porovnání s ostatními novymi ölenskymi zeměmi. Politická ekonomie, 1, 23.</w:t>
      </w:r>
    </w:p>
    <w:p w:rsidR="00577155" w:rsidRPr="00E54D02" w:rsidRDefault="00577155" w:rsidP="00E54D02">
      <w:pPr>
        <w:pStyle w:val="References"/>
        <w:spacing w:line="360" w:lineRule="auto"/>
        <w:rPr>
          <w:rFonts w:eastAsia="Times New Roman"/>
          <w:sz w:val="24"/>
          <w:szCs w:val="24"/>
          <w:lang w:val="en-GB" w:eastAsia="cs-CZ"/>
        </w:rPr>
      </w:pPr>
    </w:p>
    <w:p w:rsidR="00577155" w:rsidRPr="00E54D02" w:rsidRDefault="00577155" w:rsidP="00E54D02">
      <w:pPr>
        <w:spacing w:line="360" w:lineRule="auto"/>
        <w:rPr>
          <w:color w:val="222222"/>
          <w:shd w:val="clear" w:color="auto" w:fill="FFFFFF"/>
        </w:rPr>
      </w:pPr>
      <w:r w:rsidRPr="00E54D02">
        <w:rPr>
          <w:color w:val="222222"/>
          <w:shd w:val="clear" w:color="auto" w:fill="FFFFFF"/>
        </w:rPr>
        <w:t>Volek, T., Novotná, M., &amp; Kaňková, M. (2018). Impact of R&amp;D expenditures on labour productivity growth. In </w:t>
      </w:r>
      <w:r w:rsidRPr="00E54D02">
        <w:rPr>
          <w:i/>
          <w:iCs/>
          <w:color w:val="222222"/>
          <w:shd w:val="clear" w:color="auto" w:fill="FFFFFF"/>
        </w:rPr>
        <w:t>Proceedings of the 12th international scientific conference INPROFORUM: innovations, enterprises, regions and management</w:t>
      </w:r>
      <w:r w:rsidRPr="00E54D02">
        <w:rPr>
          <w:color w:val="222222"/>
          <w:shd w:val="clear" w:color="auto" w:fill="FFFFFF"/>
        </w:rPr>
        <w:t> (pp. 387-392).</w:t>
      </w:r>
    </w:p>
    <w:p w:rsidR="00577155" w:rsidRPr="00E54D02" w:rsidRDefault="00577155" w:rsidP="00E54D02">
      <w:pPr>
        <w:spacing w:line="360" w:lineRule="auto"/>
        <w:rPr>
          <w:color w:val="222222"/>
          <w:shd w:val="clear" w:color="auto" w:fill="FFFFFF"/>
        </w:rPr>
      </w:pPr>
    </w:p>
    <w:p w:rsidR="00577155" w:rsidRPr="00E54D02" w:rsidRDefault="00577155" w:rsidP="00E54D02">
      <w:pPr>
        <w:spacing w:line="360" w:lineRule="auto"/>
      </w:pPr>
      <w:r w:rsidRPr="00E54D02">
        <w:t xml:space="preserve">AURSULESEI, T. M., &amp; MAHA, </w:t>
      </w:r>
      <w:proofErr w:type="gramStart"/>
      <w:r w:rsidRPr="00E54D02">
        <w:t>L.-G. (2019</w:t>
      </w:r>
      <w:proofErr w:type="gramEnd"/>
      <w:r w:rsidRPr="00E54D02">
        <w:t>). NOMINAL CONVERGENCE OF EURO AREA MEMBER STATES. European Union Financial Regulation and Administrative Area, 247.</w:t>
      </w:r>
    </w:p>
    <w:p w:rsidR="00577155" w:rsidRPr="00E54D02" w:rsidRDefault="00577155" w:rsidP="00E54D02">
      <w:pPr>
        <w:spacing w:line="360" w:lineRule="auto"/>
      </w:pPr>
    </w:p>
    <w:p w:rsidR="00577155" w:rsidRPr="00E54D02" w:rsidRDefault="00663322" w:rsidP="00E54D02">
      <w:pPr>
        <w:spacing w:line="360" w:lineRule="auto"/>
      </w:pPr>
      <w:hyperlink r:id="rId27" w:history="1">
        <w:r w:rsidR="00577155" w:rsidRPr="00E54D02">
          <w:rPr>
            <w:rStyle w:val="Hypertextovodkaz"/>
          </w:rPr>
          <w:t>https://www.cnb.cz/cs/o_cnb/mezinarodni-vztahy/hospodarska-a-menova-politika-v-eu/-kriteria-konvergence/</w:t>
        </w:r>
      </w:hyperlink>
      <w:r w:rsidR="00577155" w:rsidRPr="00E54D02">
        <w:t xml:space="preserve">  </w:t>
      </w:r>
    </w:p>
    <w:p w:rsidR="00577155" w:rsidRPr="00E54D02" w:rsidRDefault="00577155" w:rsidP="00E54D02">
      <w:pPr>
        <w:spacing w:line="360" w:lineRule="auto"/>
      </w:pP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rPr>
          <w:color w:val="333333"/>
          <w:shd w:val="clear" w:color="auto" w:fill="FFFFFF"/>
        </w:rPr>
        <w:t>Giorgio Fazio &amp; Davide Piacentino, 2011. "</w:t>
      </w:r>
      <w:hyperlink r:id="rId28" w:history="1">
        <w:r w:rsidRPr="00E54D02">
          <w:rPr>
            <w:rStyle w:val="Hypertextovodkaz"/>
            <w:color w:val="2D4E8B"/>
          </w:rPr>
          <w:t>Testing for convergence from the micro-level</w:t>
        </w:r>
      </w:hyperlink>
      <w:r w:rsidRPr="00E54D02">
        <w:rPr>
          <w:color w:val="333333"/>
          <w:shd w:val="clear" w:color="auto" w:fill="FFFFFF"/>
        </w:rPr>
        <w:t>," </w:t>
      </w:r>
      <w:hyperlink r:id="rId29" w:history="1">
        <w:r w:rsidRPr="00E54D02">
          <w:rPr>
            <w:rStyle w:val="Hypertextovodkaz"/>
            <w:color w:val="2D4E8B"/>
          </w:rPr>
          <w:t>Working Papers</w:t>
        </w:r>
      </w:hyperlink>
      <w:r w:rsidRPr="00E54D02">
        <w:rPr>
          <w:color w:val="333333"/>
          <w:shd w:val="clear" w:color="auto" w:fill="FFFFFF"/>
        </w:rPr>
        <w:t> 2011_07, Business School - Economics, University of Glasgow.</w:t>
      </w:r>
    </w:p>
    <w:p w:rsidR="00577155" w:rsidRPr="00E54D02" w:rsidRDefault="00577155" w:rsidP="00E54D02">
      <w:pPr>
        <w:spacing w:line="360" w:lineRule="auto"/>
        <w:rPr>
          <w:color w:val="292C2E"/>
        </w:rPr>
      </w:pPr>
    </w:p>
    <w:p w:rsidR="00577155" w:rsidRPr="00E54D02" w:rsidRDefault="00577155" w:rsidP="00E54D02">
      <w:pPr>
        <w:spacing w:line="360" w:lineRule="auto"/>
        <w:rPr>
          <w:color w:val="292C2E"/>
        </w:rPr>
      </w:pPr>
      <w:r w:rsidRPr="00E54D02">
        <w:t>Barro, R. J. and X. Sala-i-Martin (1992), ‘Convergence,’ Journal of Political Economy, 100(2), 223–251</w:t>
      </w:r>
    </w:p>
    <w:p w:rsidR="00577155" w:rsidRPr="00E54D02" w:rsidRDefault="00577155" w:rsidP="00E54D02">
      <w:pPr>
        <w:spacing w:line="360" w:lineRule="auto"/>
        <w:rPr>
          <w:color w:val="292C2E"/>
        </w:rPr>
      </w:pPr>
    </w:p>
    <w:p w:rsidR="00CB6642" w:rsidRPr="00E54D02" w:rsidRDefault="00577155" w:rsidP="004A3917">
      <w:pPr>
        <w:spacing w:line="360" w:lineRule="auto"/>
        <w:rPr>
          <w:color w:val="333333"/>
          <w:lang w:val="en-GB" w:eastAsia="en-GB"/>
        </w:rPr>
      </w:pPr>
      <w:r w:rsidRPr="00E54D02">
        <w:rPr>
          <w:color w:val="292C2E"/>
        </w:rPr>
        <w:t xml:space="preserve">Pochopení procesu dohánění je v centru úsilí rozvojových ekonomů od dob Solowa (1956). </w:t>
      </w:r>
    </w:p>
    <w:p w:rsidR="00F75B30" w:rsidRPr="00E54D02" w:rsidRDefault="00F75B30" w:rsidP="00E54D02">
      <w:pPr>
        <w:shd w:val="clear" w:color="auto" w:fill="FFFFFF"/>
        <w:spacing w:after="360" w:line="360" w:lineRule="auto"/>
        <w:rPr>
          <w:color w:val="333333"/>
          <w:lang w:val="en-GB" w:eastAsia="en-GB"/>
        </w:rPr>
      </w:pPr>
      <w:r w:rsidRPr="00E54D02">
        <w:rPr>
          <w:color w:val="333333"/>
        </w:rPr>
        <w:t>Průmyslová politika by měla vzít v úvahu odvětvovou heterogenitu a rozdíly mezi severem a jihem, aby účinně zvýšila výkonnost produktivity.</w:t>
      </w:r>
      <w:r w:rsidRPr="00E54D02">
        <w:t xml:space="preserve"> (Castelnovo et al., 2020)</w:t>
      </w:r>
    </w:p>
    <w:p w:rsidR="00B36EB3" w:rsidRPr="00E54D02" w:rsidRDefault="00B36EB3" w:rsidP="00E54D02">
      <w:pPr>
        <w:shd w:val="clear" w:color="auto" w:fill="FFFFFF"/>
        <w:spacing w:before="100" w:beforeAutospacing="1" w:after="100" w:afterAutospacing="1" w:line="360" w:lineRule="auto"/>
        <w:outlineLvl w:val="1"/>
        <w:rPr>
          <w:b/>
          <w:bCs/>
          <w:color w:val="111111"/>
          <w:lang w:val="en-GB" w:eastAsia="en-GB"/>
        </w:rPr>
      </w:pPr>
      <w:r w:rsidRPr="00E54D02">
        <w:rPr>
          <w:b/>
          <w:bCs/>
          <w:color w:val="111111"/>
          <w:lang w:val="en-GB" w:eastAsia="en-GB"/>
        </w:rPr>
        <w:t>Abstraktní</w:t>
      </w:r>
    </w:p>
    <w:p w:rsidR="00B36EB3" w:rsidRPr="00E54D02" w:rsidRDefault="00B36EB3" w:rsidP="00E54D02">
      <w:pPr>
        <w:shd w:val="clear" w:color="auto" w:fill="FFFFFF"/>
        <w:spacing w:after="360" w:line="360" w:lineRule="auto"/>
        <w:rPr>
          <w:color w:val="333333"/>
          <w:lang w:val="en-GB" w:eastAsia="en-GB"/>
        </w:rPr>
      </w:pPr>
      <w:r w:rsidRPr="00E54D02">
        <w:rPr>
          <w:color w:val="333333"/>
          <w:lang w:val="en-GB" w:eastAsia="en-GB"/>
        </w:rPr>
        <w:t xml:space="preserve">Stabilita ekologických komunit je zásadní pro stabilní poskytování ekosystémových služeb, jako je produkce potravin a pícnin, sekvestrace uhlíku </w:t>
      </w:r>
      <w:proofErr w:type="gramStart"/>
      <w:r w:rsidRPr="00E54D02">
        <w:rPr>
          <w:color w:val="333333"/>
          <w:lang w:val="en-GB" w:eastAsia="en-GB"/>
        </w:rPr>
        <w:t>a</w:t>
      </w:r>
      <w:proofErr w:type="gramEnd"/>
      <w:r w:rsidRPr="00E54D02">
        <w:rPr>
          <w:color w:val="333333"/>
          <w:lang w:val="en-GB" w:eastAsia="en-GB"/>
        </w:rPr>
        <w:t xml:space="preserve"> úrodnost půdy. Očekává se, že větší biologická rozmanitost zlepší v průběhu let stabilitu snížením synchronizace mezi druhy, ale hnací síly stability v přírodě zůstávají špatně vyřešeny. Naše analýza časových řad </w:t>
      </w:r>
      <w:proofErr w:type="gramStart"/>
      <w:r w:rsidRPr="00E54D02">
        <w:rPr>
          <w:color w:val="333333"/>
          <w:lang w:val="en-GB" w:eastAsia="en-GB"/>
        </w:rPr>
        <w:t>od</w:t>
      </w:r>
      <w:proofErr w:type="gramEnd"/>
      <w:r w:rsidRPr="00E54D02">
        <w:rPr>
          <w:color w:val="333333"/>
          <w:lang w:val="en-GB" w:eastAsia="en-GB"/>
        </w:rPr>
        <w:t xml:space="preserve"> 79 datových souborů z celého světa ukázala, že stabilita byla silněji spojena se stupněm synchronizace mezi dominantními druhy než s druhovou bohatostí. Relativně slabý vliv druhové bohatosti je v souladu s teorií, která předpovídá, že vliv bohatosti </w:t>
      </w:r>
      <w:proofErr w:type="gramStart"/>
      <w:r w:rsidRPr="00E54D02">
        <w:rPr>
          <w:color w:val="333333"/>
          <w:lang w:val="en-GB" w:eastAsia="en-GB"/>
        </w:rPr>
        <w:t>na</w:t>
      </w:r>
      <w:proofErr w:type="gramEnd"/>
      <w:r w:rsidRPr="00E54D02">
        <w:rPr>
          <w:color w:val="333333"/>
          <w:lang w:val="en-GB" w:eastAsia="en-GB"/>
        </w:rPr>
        <w:t xml:space="preserve"> stabilitu slabne, když je synchronizace při náhodných výkyvech vyšší, než se očekávalo, což byl případ většiny komunit. Hospodaření s půdou, přidávání živin, a změny klimatu měly relativně slabé a různé účinky </w:t>
      </w:r>
      <w:proofErr w:type="gramStart"/>
      <w:r w:rsidRPr="00E54D02">
        <w:rPr>
          <w:color w:val="333333"/>
          <w:lang w:val="en-GB" w:eastAsia="en-GB"/>
        </w:rPr>
        <w:t>na</w:t>
      </w:r>
      <w:proofErr w:type="gramEnd"/>
      <w:r w:rsidRPr="00E54D02">
        <w:rPr>
          <w:color w:val="333333"/>
          <w:lang w:val="en-GB" w:eastAsia="en-GB"/>
        </w:rPr>
        <w:t xml:space="preserve"> stabilitu, které upravovaly interakci druhové bohatosti, synchronizace a stability. Naše výsledky ukazují prevalenci biotických faktorů </w:t>
      </w:r>
      <w:proofErr w:type="gramStart"/>
      <w:r w:rsidRPr="00E54D02">
        <w:rPr>
          <w:color w:val="333333"/>
          <w:lang w:val="en-GB" w:eastAsia="en-GB"/>
        </w:rPr>
        <w:t>na</w:t>
      </w:r>
      <w:proofErr w:type="gramEnd"/>
      <w:r w:rsidRPr="00E54D02">
        <w:rPr>
          <w:color w:val="333333"/>
          <w:lang w:val="en-GB" w:eastAsia="en-GB"/>
        </w:rPr>
        <w:t xml:space="preserve"> stabilitu ekosystému s potenciálem environmentálních faktorů změnit složitý vztah mezi bohatstvím, synchronizací a stabilitou.</w:t>
      </w:r>
    </w:p>
    <w:p w:rsidR="007617DE" w:rsidRPr="00E54D02" w:rsidRDefault="00E4434B" w:rsidP="00E54D02">
      <w:pPr>
        <w:spacing w:line="360" w:lineRule="auto"/>
        <w:ind w:hanging="480"/>
        <w:rPr>
          <w:color w:val="0000FF"/>
          <w:u w:val="single"/>
          <w:lang w:val="en-GB" w:eastAsia="en-GB"/>
        </w:rPr>
      </w:pPr>
      <w:r w:rsidRPr="00E54D02">
        <w:rPr>
          <w:lang w:val="en-GB" w:eastAsia="en-GB"/>
        </w:rPr>
        <w:t xml:space="preserve">Valencia, E., de Bello, F., Galland, T., Adler, P. B., Lepš, J., E-Vojtkó, A., van Klink, R., Carmona, C. P., Danihelka, J., Dengler, J., Eldridge, D. J., Estiarte, M., García-González, R., Garnier, E., Gómez-García, D., Harrison, S. P., Herben, T., Ibáñez, R., Jentsch, A., … Götzenberger, L. (2020). Synchrony matters more than species richness in plant community stability at a global scale. </w:t>
      </w:r>
      <w:r w:rsidRPr="00E54D02">
        <w:rPr>
          <w:i/>
          <w:iCs/>
          <w:lang w:val="en-GB" w:eastAsia="en-GB"/>
        </w:rPr>
        <w:t>Proceedings of the National Academy of Sciences</w:t>
      </w:r>
      <w:r w:rsidRPr="00E54D02">
        <w:rPr>
          <w:lang w:val="en-GB" w:eastAsia="en-GB"/>
        </w:rPr>
        <w:t xml:space="preserve">, </w:t>
      </w:r>
      <w:r w:rsidRPr="00E54D02">
        <w:rPr>
          <w:i/>
          <w:iCs/>
          <w:lang w:val="en-GB" w:eastAsia="en-GB"/>
        </w:rPr>
        <w:t>117</w:t>
      </w:r>
      <w:r w:rsidRPr="00E54D02">
        <w:rPr>
          <w:lang w:val="en-GB" w:eastAsia="en-GB"/>
        </w:rPr>
        <w:t xml:space="preserve">(39), 24345–24351. </w:t>
      </w:r>
      <w:hyperlink r:id="rId30" w:history="1">
        <w:r w:rsidRPr="00E54D02">
          <w:rPr>
            <w:color w:val="0000FF"/>
            <w:u w:val="single"/>
            <w:lang w:val="en-GB" w:eastAsia="en-GB"/>
          </w:rPr>
          <w:t>https://doi.org/10.1073/pnas.1920405117</w:t>
        </w:r>
      </w:hyperlink>
    </w:p>
    <w:p w:rsidR="00882022" w:rsidRPr="00E54D02" w:rsidRDefault="00882022" w:rsidP="00E54D02">
      <w:pPr>
        <w:spacing w:line="360" w:lineRule="auto"/>
        <w:ind w:hanging="480"/>
      </w:pPr>
      <w:r w:rsidRPr="00E54D02">
        <w:lastRenderedPageBreak/>
        <w:t xml:space="preserve">Ghalayini, A. M., &amp; Noble, J. S. (1996). The changing basis of performance measurement. </w:t>
      </w:r>
      <w:r w:rsidRPr="00E54D02">
        <w:rPr>
          <w:i/>
          <w:iCs/>
        </w:rPr>
        <w:t>International Journal of Operations &amp; Production Management</w:t>
      </w:r>
      <w:r w:rsidRPr="00E54D02">
        <w:t xml:space="preserve">, </w:t>
      </w:r>
      <w:r w:rsidRPr="00E54D02">
        <w:rPr>
          <w:i/>
          <w:iCs/>
        </w:rPr>
        <w:t>16</w:t>
      </w:r>
      <w:r w:rsidRPr="00E54D02">
        <w:t xml:space="preserve">(8), 63–80. </w:t>
      </w:r>
      <w:hyperlink r:id="rId31" w:history="1">
        <w:r w:rsidRPr="00E54D02">
          <w:rPr>
            <w:rStyle w:val="Hypertextovodkaz"/>
          </w:rPr>
          <w:t>https://doi.org/10.1108/01443579610125787</w:t>
        </w:r>
      </w:hyperlink>
    </w:p>
    <w:p w:rsidR="00882022" w:rsidRPr="00E54D02" w:rsidRDefault="00882022" w:rsidP="00E54D02">
      <w:pPr>
        <w:spacing w:line="360" w:lineRule="auto"/>
        <w:ind w:hanging="480"/>
        <w:rPr>
          <w:color w:val="0000FF"/>
          <w:u w:val="single"/>
          <w:lang w:val="en-GB" w:eastAsia="en-GB"/>
        </w:rPr>
      </w:pPr>
    </w:p>
    <w:p w:rsidR="00882022" w:rsidRPr="00E54D02" w:rsidRDefault="00882022" w:rsidP="00E54D02">
      <w:pPr>
        <w:spacing w:line="360" w:lineRule="auto"/>
        <w:ind w:hanging="480"/>
        <w:rPr>
          <w:color w:val="0000FF"/>
          <w:u w:val="single"/>
          <w:lang w:val="en-GB" w:eastAsia="en-GB"/>
        </w:rPr>
      </w:pPr>
    </w:p>
    <w:p w:rsidR="00882022" w:rsidRPr="00E54D02" w:rsidRDefault="00882022" w:rsidP="00E54D02">
      <w:pPr>
        <w:spacing w:line="360" w:lineRule="auto"/>
        <w:ind w:hanging="480"/>
      </w:pPr>
    </w:p>
    <w:p w:rsidR="002D55C9" w:rsidRPr="00E54D02" w:rsidRDefault="002D55C9" w:rsidP="00E54D02">
      <w:pPr>
        <w:spacing w:line="360" w:lineRule="auto"/>
      </w:pPr>
      <w:r w:rsidRPr="00E54D02">
        <w:t xml:space="preserve">Termín produktivita může znamenat různé věci pro různé lidi. </w:t>
      </w:r>
    </w:p>
    <w:p w:rsidR="00081BE9" w:rsidRPr="00E54D02" w:rsidRDefault="00081BE9" w:rsidP="00E54D02">
      <w:pPr>
        <w:spacing w:line="360" w:lineRule="auto"/>
      </w:pPr>
    </w:p>
    <w:p w:rsidR="00081BE9" w:rsidRPr="00E54D02" w:rsidRDefault="00081BE9" w:rsidP="00E54D02">
      <w:pPr>
        <w:spacing w:line="360" w:lineRule="auto"/>
      </w:pPr>
      <w:r w:rsidRPr="00E54D02">
        <w:t>Příspěvek Solowa (1956) zdůraznil roli akumulace kapitálu a celkové účinnosti výrobních faktorů  pro pochopení rozdíl</w:t>
      </w:r>
      <w:r w:rsidR="002B1F90" w:rsidRPr="00E54D02">
        <w:t>ů v produktivitě práce mezi</w:t>
      </w:r>
      <w:r w:rsidRPr="00E54D02">
        <w:t xml:space="preserve"> zeměmi v určitém čase. </w:t>
      </w:r>
    </w:p>
    <w:p w:rsidR="00081BE9" w:rsidRPr="00E54D02" w:rsidRDefault="00081BE9" w:rsidP="00E54D02">
      <w:pPr>
        <w:spacing w:line="360" w:lineRule="auto"/>
        <w:rPr>
          <w:color w:val="1C1D1E"/>
          <w:shd w:val="clear" w:color="auto" w:fill="FFFFFF"/>
        </w:rPr>
      </w:pPr>
      <w:r w:rsidRPr="00E54D02">
        <w:rPr>
          <w:color w:val="1C1D1E"/>
          <w:shd w:val="clear" w:color="auto" w:fill="FFFFFF"/>
        </w:rPr>
        <w:t>Alespoň od klíčového příspěvku Solowa ( </w:t>
      </w:r>
      <w:hyperlink r:id="rId32" w:anchor="rode12726-bib-0045" w:history="1">
        <w:proofErr w:type="gramStart"/>
        <w:r w:rsidRPr="00E54D02">
          <w:rPr>
            <w:rStyle w:val="Hypertextovodkaz"/>
            <w:b/>
            <w:bCs/>
            <w:color w:val="000000"/>
          </w:rPr>
          <w:t>1956</w:t>
        </w:r>
      </w:hyperlink>
      <w:r w:rsidRPr="00E54D02">
        <w:rPr>
          <w:color w:val="1C1D1E"/>
          <w:shd w:val="clear" w:color="auto" w:fill="FFFFFF"/>
        </w:rPr>
        <w:t> ) studie</w:t>
      </w:r>
      <w:proofErr w:type="gramEnd"/>
      <w:r w:rsidRPr="00E54D02">
        <w:rPr>
          <w:color w:val="1C1D1E"/>
          <w:shd w:val="clear" w:color="auto" w:fill="FFFFFF"/>
        </w:rPr>
        <w:t xml:space="preserve"> ekonomického růstu zdůraznila roli akumulace kapitálu a celkové účinnosti (technologický pokrok) pro pochopení rozdílů v produktivitě práce mezi zeměmi a v průběhu času. </w:t>
      </w:r>
    </w:p>
    <w:p w:rsidR="00081BE9" w:rsidRPr="00E54D02" w:rsidRDefault="00081BE9" w:rsidP="00E54D02">
      <w:pPr>
        <w:spacing w:line="360" w:lineRule="auto"/>
        <w:rPr>
          <w:color w:val="1C1D1E"/>
          <w:shd w:val="clear" w:color="auto" w:fill="FFFFFF"/>
        </w:rPr>
      </w:pPr>
    </w:p>
    <w:p w:rsidR="00081BE9" w:rsidRPr="00E54D02" w:rsidRDefault="00081BE9" w:rsidP="00E54D02">
      <w:pPr>
        <w:spacing w:line="360" w:lineRule="auto"/>
        <w:rPr>
          <w:color w:val="1C1D1E"/>
          <w:shd w:val="clear" w:color="auto" w:fill="FFFFFF"/>
        </w:rPr>
      </w:pPr>
    </w:p>
    <w:p w:rsidR="00081BE9" w:rsidRPr="00E54D02" w:rsidRDefault="00081BE9" w:rsidP="00E54D02">
      <w:pPr>
        <w:spacing w:line="360" w:lineRule="auto"/>
        <w:rPr>
          <w:color w:val="222222"/>
          <w:shd w:val="clear" w:color="auto" w:fill="FFFFFF"/>
        </w:rPr>
      </w:pPr>
      <w:r w:rsidRPr="00E54D02">
        <w:rPr>
          <w:color w:val="222222"/>
          <w:shd w:val="clear" w:color="auto" w:fill="FFFFFF"/>
        </w:rPr>
        <w:t>Solow, R. M. (1956). A contribution to the theory of economic growth. </w:t>
      </w:r>
      <w:r w:rsidRPr="00E54D02">
        <w:rPr>
          <w:i/>
          <w:iCs/>
          <w:color w:val="222222"/>
          <w:shd w:val="clear" w:color="auto" w:fill="FFFFFF"/>
        </w:rPr>
        <w:t>The quarterly journal of economics</w:t>
      </w:r>
      <w:r w:rsidRPr="00E54D02">
        <w:rPr>
          <w:color w:val="222222"/>
          <w:shd w:val="clear" w:color="auto" w:fill="FFFFFF"/>
        </w:rPr>
        <w:t>, </w:t>
      </w:r>
      <w:r w:rsidRPr="00E54D02">
        <w:rPr>
          <w:i/>
          <w:iCs/>
          <w:color w:val="222222"/>
          <w:shd w:val="clear" w:color="auto" w:fill="FFFFFF"/>
        </w:rPr>
        <w:t>70</w:t>
      </w:r>
      <w:r w:rsidRPr="00E54D02">
        <w:rPr>
          <w:color w:val="222222"/>
          <w:shd w:val="clear" w:color="auto" w:fill="FFFFFF"/>
        </w:rPr>
        <w:t>(1), 65-94.</w:t>
      </w:r>
    </w:p>
    <w:p w:rsidR="005F0EA0" w:rsidRPr="00E54D02" w:rsidRDefault="005F0EA0" w:rsidP="00E54D02">
      <w:pPr>
        <w:spacing w:line="360" w:lineRule="auto"/>
        <w:ind w:hanging="480"/>
      </w:pPr>
      <w:r w:rsidRPr="00E54D02">
        <w:t xml:space="preserve">Syverson, C. (2011). What Determines Productivity? </w:t>
      </w:r>
      <w:r w:rsidRPr="00E54D02">
        <w:rPr>
          <w:i/>
          <w:iCs/>
        </w:rPr>
        <w:t>Journal of Economic Literature</w:t>
      </w:r>
      <w:r w:rsidRPr="00E54D02">
        <w:t xml:space="preserve">, </w:t>
      </w:r>
      <w:r w:rsidRPr="00E54D02">
        <w:rPr>
          <w:i/>
          <w:iCs/>
        </w:rPr>
        <w:t>49</w:t>
      </w:r>
      <w:r w:rsidRPr="00E54D02">
        <w:t xml:space="preserve">(2), 326–365. </w:t>
      </w:r>
      <w:hyperlink r:id="rId33" w:history="1">
        <w:r w:rsidRPr="00E54D02">
          <w:rPr>
            <w:rStyle w:val="Hypertextovodkaz"/>
          </w:rPr>
          <w:t>https://doi.org/10.1257/jel.49.2.326</w:t>
        </w:r>
      </w:hyperlink>
    </w:p>
    <w:p w:rsidR="005F0EA0" w:rsidRPr="00E54D02" w:rsidRDefault="005F0EA0" w:rsidP="00E54D02">
      <w:pPr>
        <w:spacing w:line="360" w:lineRule="auto"/>
      </w:pPr>
    </w:p>
    <w:p w:rsidR="00744948" w:rsidRPr="00E54D02" w:rsidRDefault="00744948" w:rsidP="00E54D02">
      <w:pPr>
        <w:spacing w:line="360" w:lineRule="auto"/>
        <w:rPr>
          <w:color w:val="000000"/>
          <w:shd w:val="clear" w:color="auto" w:fill="FFFFFF"/>
        </w:rPr>
      </w:pPr>
      <w:r w:rsidRPr="00E54D02">
        <w:rPr>
          <w:color w:val="000000"/>
          <w:shd w:val="clear" w:color="auto" w:fill="FFFFFF"/>
        </w:rPr>
        <w:t>Halpern, L., Koren, M., &amp; Szeidl, A.. (2015). Imported Inputs and Productivity. </w:t>
      </w:r>
      <w:r w:rsidRPr="00E54D02">
        <w:rPr>
          <w:i/>
          <w:iCs/>
          <w:color w:val="000000"/>
          <w:bdr w:val="none" w:sz="0" w:space="0" w:color="auto" w:frame="1"/>
        </w:rPr>
        <w:t>American Economic Review</w:t>
      </w:r>
      <w:r w:rsidRPr="00E54D02">
        <w:rPr>
          <w:color w:val="000000"/>
          <w:shd w:val="clear" w:color="auto" w:fill="FFFFFF"/>
        </w:rPr>
        <w:t>, </w:t>
      </w:r>
      <w:r w:rsidRPr="00E54D02">
        <w:rPr>
          <w:i/>
          <w:iCs/>
          <w:color w:val="000000"/>
          <w:bdr w:val="none" w:sz="0" w:space="0" w:color="auto" w:frame="1"/>
        </w:rPr>
        <w:t>105</w:t>
      </w:r>
      <w:r w:rsidRPr="00E54D02">
        <w:rPr>
          <w:color w:val="000000"/>
          <w:shd w:val="clear" w:color="auto" w:fill="FFFFFF"/>
        </w:rPr>
        <w:t xml:space="preserve">(12), 3660–3703. </w:t>
      </w:r>
      <w:hyperlink r:id="rId34" w:history="1">
        <w:r w:rsidR="00020CE8" w:rsidRPr="00E54D02">
          <w:rPr>
            <w:rStyle w:val="Hypertextovodkaz"/>
            <w:shd w:val="clear" w:color="auto" w:fill="FFFFFF"/>
          </w:rPr>
          <w:t>https://doi.org/10.1257/aer.20150443</w:t>
        </w:r>
      </w:hyperlink>
    </w:p>
    <w:p w:rsidR="00020CE8" w:rsidRPr="00E54D02" w:rsidRDefault="00020CE8" w:rsidP="00E54D02">
      <w:pPr>
        <w:spacing w:line="360" w:lineRule="auto"/>
        <w:rPr>
          <w:color w:val="000000"/>
          <w:shd w:val="clear" w:color="auto" w:fill="FFFFFF"/>
        </w:rPr>
      </w:pPr>
    </w:p>
    <w:p w:rsidR="00020CE8" w:rsidRPr="00E54D02" w:rsidRDefault="00020CE8" w:rsidP="00E54D02">
      <w:pPr>
        <w:spacing w:line="360" w:lineRule="auto"/>
        <w:ind w:hanging="480"/>
        <w:rPr>
          <w:rStyle w:val="Hypertextovodkaz"/>
        </w:rPr>
      </w:pPr>
      <w:r w:rsidRPr="00E54D02">
        <w:t xml:space="preserve">Banker, R., Datar, S., &amp; Kaplan, R. (1989). Productivity Measurement and Management Accounting. </w:t>
      </w:r>
      <w:r w:rsidRPr="00E54D02">
        <w:rPr>
          <w:i/>
          <w:iCs/>
        </w:rPr>
        <w:t>Journal of Accounting, Auditing and Finance</w:t>
      </w:r>
      <w:r w:rsidRPr="00E54D02">
        <w:t xml:space="preserve">, </w:t>
      </w:r>
      <w:r w:rsidRPr="00E54D02">
        <w:rPr>
          <w:i/>
          <w:iCs/>
        </w:rPr>
        <w:t>4</w:t>
      </w:r>
      <w:r w:rsidRPr="00E54D02">
        <w:t xml:space="preserve">. </w:t>
      </w:r>
      <w:hyperlink r:id="rId35" w:history="1">
        <w:r w:rsidRPr="00E54D02">
          <w:rPr>
            <w:rStyle w:val="Hypertextovodkaz"/>
          </w:rPr>
          <w:t>https://doi.org/10.1177/0148558X8900400407</w:t>
        </w:r>
      </w:hyperlink>
    </w:p>
    <w:p w:rsidR="00A6076A" w:rsidRPr="00E54D02" w:rsidRDefault="00A6076A" w:rsidP="00E54D02">
      <w:pPr>
        <w:spacing w:line="360" w:lineRule="auto"/>
        <w:ind w:hanging="480"/>
        <w:rPr>
          <w:rStyle w:val="Hypertextovodkaz"/>
        </w:rPr>
      </w:pPr>
    </w:p>
    <w:p w:rsidR="00A6076A" w:rsidRPr="00E54D02" w:rsidRDefault="00A6076A" w:rsidP="00E54D02">
      <w:pPr>
        <w:spacing w:line="360" w:lineRule="auto"/>
        <w:ind w:hanging="480"/>
      </w:pPr>
      <w:r w:rsidRPr="00E54D02">
        <w:t xml:space="preserve">Venturini, F. (2015). The modern drivers of productivity. </w:t>
      </w:r>
      <w:r w:rsidRPr="00E54D02">
        <w:rPr>
          <w:i/>
          <w:iCs/>
        </w:rPr>
        <w:t>Research Policy</w:t>
      </w:r>
      <w:r w:rsidRPr="00E54D02">
        <w:t xml:space="preserve">, </w:t>
      </w:r>
      <w:r w:rsidRPr="00E54D02">
        <w:rPr>
          <w:i/>
          <w:iCs/>
        </w:rPr>
        <w:t>44</w:t>
      </w:r>
      <w:r w:rsidRPr="00E54D02">
        <w:t xml:space="preserve">(2), 357–369. </w:t>
      </w:r>
      <w:hyperlink r:id="rId36" w:history="1">
        <w:r w:rsidRPr="00E54D02">
          <w:rPr>
            <w:rStyle w:val="Hypertextovodkaz"/>
          </w:rPr>
          <w:t>https://doi.org/10.1016/j.respol.2014.10.011</w:t>
        </w:r>
      </w:hyperlink>
    </w:p>
    <w:p w:rsidR="00A6076A" w:rsidRPr="00E54D02" w:rsidRDefault="00A6076A" w:rsidP="00E54D02">
      <w:pPr>
        <w:spacing w:line="360" w:lineRule="auto"/>
        <w:ind w:hanging="480"/>
      </w:pPr>
    </w:p>
    <w:p w:rsidR="005D4B1D" w:rsidRPr="00E54D02" w:rsidRDefault="005D4B1D" w:rsidP="00E54D02">
      <w:pPr>
        <w:spacing w:line="360" w:lineRule="auto"/>
        <w:ind w:hanging="480"/>
        <w:rPr>
          <w:lang w:val="en-GB" w:eastAsia="en-GB"/>
        </w:rPr>
      </w:pPr>
      <w:r w:rsidRPr="00E54D02">
        <w:rPr>
          <w:lang w:val="en-GB" w:eastAsia="en-GB"/>
        </w:rPr>
        <w:t xml:space="preserve">Guvenen, F., Mataloni, R. J., Rassier, D. G., &amp; Ruhl, K. J. (2017). </w:t>
      </w:r>
      <w:r w:rsidRPr="00E54D02">
        <w:rPr>
          <w:i/>
          <w:iCs/>
          <w:lang w:val="en-GB" w:eastAsia="en-GB"/>
        </w:rPr>
        <w:t>Offshore Profit Shifting and Domestic Productivity Measurement</w:t>
      </w:r>
      <w:r w:rsidRPr="00E54D02">
        <w:rPr>
          <w:lang w:val="en-GB" w:eastAsia="en-GB"/>
        </w:rPr>
        <w:t>. National Bureau of Economic Research.</w:t>
      </w:r>
    </w:p>
    <w:p w:rsidR="00BE5034" w:rsidRPr="00E54D02" w:rsidRDefault="00BE5034" w:rsidP="00E54D02">
      <w:pPr>
        <w:spacing w:line="360" w:lineRule="auto"/>
        <w:ind w:hanging="480"/>
        <w:rPr>
          <w:lang w:val="en-GB" w:eastAsia="en-GB"/>
        </w:rPr>
      </w:pPr>
    </w:p>
    <w:p w:rsidR="00BE5034" w:rsidRPr="00E54D02" w:rsidRDefault="00BE5034" w:rsidP="00E54D02">
      <w:pPr>
        <w:spacing w:line="360" w:lineRule="auto"/>
        <w:ind w:hanging="480"/>
      </w:pPr>
      <w:r w:rsidRPr="00E54D02">
        <w:lastRenderedPageBreak/>
        <w:t xml:space="preserve">Grifell-Tatjé, E., Lovell, C. A. K., &amp; Sickles, R. C. (2018). Overview of Productivity Analysis. In </w:t>
      </w:r>
      <w:r w:rsidRPr="00E54D02">
        <w:rPr>
          <w:i/>
          <w:iCs/>
        </w:rPr>
        <w:t>The Oxford Handbook of Productivity Analysis</w:t>
      </w:r>
      <w:r w:rsidRPr="00E54D02">
        <w:t xml:space="preserve"> (pp. 2–74). Oxford University Press. </w:t>
      </w:r>
      <w:hyperlink r:id="rId37" w:history="1">
        <w:r w:rsidRPr="00E54D02">
          <w:rPr>
            <w:rStyle w:val="Hypertextovodkaz"/>
          </w:rPr>
          <w:t>https://doi.org/10.1093/oxfordhb/9780190226718.013.1</w:t>
        </w:r>
      </w:hyperlink>
    </w:p>
    <w:p w:rsidR="00F75B30" w:rsidRPr="00E54D02" w:rsidRDefault="00F75B30" w:rsidP="00E54D02">
      <w:pPr>
        <w:spacing w:line="360" w:lineRule="auto"/>
        <w:ind w:hanging="480"/>
      </w:pPr>
      <w:r w:rsidRPr="00E54D02">
        <w:t xml:space="preserve">Castelnovo, P., Morretta, V., &amp; Vecchi, M. (2020). Regional disparities and industrial structure: Territorial capital and productivity in Italian firms. </w:t>
      </w:r>
      <w:r w:rsidRPr="00E54D02">
        <w:rPr>
          <w:i/>
          <w:iCs/>
        </w:rPr>
        <w:t>Regional Studies</w:t>
      </w:r>
      <w:r w:rsidRPr="00E54D02">
        <w:t xml:space="preserve">, </w:t>
      </w:r>
      <w:r w:rsidRPr="00E54D02">
        <w:rPr>
          <w:i/>
          <w:iCs/>
        </w:rPr>
        <w:t>54</w:t>
      </w:r>
      <w:r w:rsidRPr="00E54D02">
        <w:t xml:space="preserve">(12), 1709–1723. </w:t>
      </w:r>
      <w:hyperlink r:id="rId38" w:history="1">
        <w:r w:rsidRPr="00E54D02">
          <w:rPr>
            <w:rStyle w:val="Hypertextovodkaz"/>
          </w:rPr>
          <w:t>https://doi.org/10.1080/00343404.2020.1763941</w:t>
        </w:r>
      </w:hyperlink>
    </w:p>
    <w:p w:rsidR="00BE5034" w:rsidRPr="00E54D02" w:rsidRDefault="00BE5034" w:rsidP="00E54D02">
      <w:pPr>
        <w:spacing w:line="360" w:lineRule="auto"/>
        <w:ind w:hanging="480"/>
        <w:rPr>
          <w:lang w:val="en-GB" w:eastAsia="en-GB"/>
        </w:rPr>
      </w:pPr>
    </w:p>
    <w:p w:rsidR="00020CE8" w:rsidRPr="00E54D02" w:rsidRDefault="001C218A" w:rsidP="00E54D02">
      <w:pPr>
        <w:spacing w:line="360" w:lineRule="auto"/>
        <w:ind w:hanging="480"/>
      </w:pPr>
      <w:r w:rsidRPr="00E54D02">
        <w:t xml:space="preserve">Alencar, D., Jayme Jr, F. G., Britto, G., &amp; Puty, C. (2021). Distribution and Productivity Growth: An Empirical Exercise Applied to Selected Latin American Countries. In </w:t>
      </w:r>
      <w:r w:rsidRPr="00E54D02">
        <w:rPr>
          <w:i/>
          <w:iCs/>
        </w:rPr>
        <w:t>REVIEW OF POLITICAL ECONOMY</w:t>
      </w:r>
      <w:r w:rsidRPr="00E54D02">
        <w:t xml:space="preserve"> (Vol. 33, Issue 3, pp. 487–510). TAYLOR &amp; FRANCIS LTD. </w:t>
      </w:r>
      <w:hyperlink r:id="rId39" w:history="1">
        <w:r w:rsidRPr="00E54D02">
          <w:rPr>
            <w:rStyle w:val="Hypertextovodkaz"/>
          </w:rPr>
          <w:t>https://doi.org/10.1080/09538259.2020.1815961</w:t>
        </w:r>
      </w:hyperlink>
    </w:p>
    <w:p w:rsidR="0047639F" w:rsidRPr="00E54D02" w:rsidRDefault="0047639F" w:rsidP="00E54D02">
      <w:pPr>
        <w:spacing w:line="360" w:lineRule="auto"/>
        <w:ind w:hanging="480"/>
      </w:pPr>
    </w:p>
    <w:p w:rsidR="0047639F" w:rsidRPr="00E54D02" w:rsidRDefault="0047639F" w:rsidP="00E54D02">
      <w:pPr>
        <w:spacing w:line="360" w:lineRule="auto"/>
        <w:ind w:hanging="480"/>
      </w:pPr>
      <w:r w:rsidRPr="00E54D02">
        <w:t xml:space="preserve">Balk, B. M. (2001). Scale Efficiency and Productivity Change. </w:t>
      </w:r>
      <w:r w:rsidRPr="00E54D02">
        <w:rPr>
          <w:i/>
          <w:iCs/>
        </w:rPr>
        <w:t>Journal of Productivity Analysis</w:t>
      </w:r>
      <w:r w:rsidRPr="00E54D02">
        <w:t xml:space="preserve">, </w:t>
      </w:r>
      <w:r w:rsidRPr="00E54D02">
        <w:rPr>
          <w:i/>
          <w:iCs/>
        </w:rPr>
        <w:t>15</w:t>
      </w:r>
      <w:r w:rsidRPr="00E54D02">
        <w:t xml:space="preserve">(3), 159–183. </w:t>
      </w:r>
      <w:hyperlink r:id="rId40" w:history="1">
        <w:r w:rsidRPr="00E54D02">
          <w:rPr>
            <w:rStyle w:val="Hypertextovodkaz"/>
          </w:rPr>
          <w:t>https://doi.org/10.1023/A:1011117324278</w:t>
        </w:r>
      </w:hyperlink>
    </w:p>
    <w:p w:rsidR="00F772EA" w:rsidRPr="00E54D02" w:rsidRDefault="00F772EA" w:rsidP="00E54D02">
      <w:pPr>
        <w:spacing w:line="360" w:lineRule="auto"/>
        <w:ind w:hanging="480"/>
      </w:pPr>
      <w:r w:rsidRPr="00E54D02">
        <w:t xml:space="preserve">Roncolato, L., &amp; Kucera, D. (2013). Structural Drivers of productivity and employment growth: A decomposition analysis for 81 countries. </w:t>
      </w:r>
      <w:r w:rsidRPr="00E54D02">
        <w:rPr>
          <w:i/>
          <w:iCs/>
        </w:rPr>
        <w:t>Cambridge Journal of Economics</w:t>
      </w:r>
      <w:r w:rsidRPr="00E54D02">
        <w:t xml:space="preserve">, </w:t>
      </w:r>
      <w:r w:rsidRPr="00E54D02">
        <w:rPr>
          <w:i/>
          <w:iCs/>
        </w:rPr>
        <w:t>38</w:t>
      </w:r>
      <w:r w:rsidRPr="00E54D02">
        <w:t xml:space="preserve">, 399–424. </w:t>
      </w:r>
      <w:hyperlink r:id="rId41" w:history="1">
        <w:r w:rsidRPr="00E54D02">
          <w:rPr>
            <w:rStyle w:val="Hypertextovodkaz"/>
          </w:rPr>
          <w:t>https://doi.org/10.1093/cje/bet044</w:t>
        </w:r>
      </w:hyperlink>
    </w:p>
    <w:p w:rsidR="0045197D" w:rsidRPr="00E54D02" w:rsidRDefault="0045197D" w:rsidP="00E54D02">
      <w:pPr>
        <w:spacing w:line="360" w:lineRule="auto"/>
        <w:ind w:hanging="480"/>
      </w:pPr>
      <w:r w:rsidRPr="00E54D02">
        <w:t xml:space="preserve">Dieppe, A. (2021). </w:t>
      </w:r>
      <w:r w:rsidRPr="00E54D02">
        <w:rPr>
          <w:i/>
          <w:iCs/>
        </w:rPr>
        <w:t>Global Productivity: Trends, Drivers, and Policies</w:t>
      </w:r>
      <w:r w:rsidRPr="00E54D02">
        <w:t>. World Bank Publications.</w:t>
      </w:r>
    </w:p>
    <w:p w:rsidR="0045197D" w:rsidRPr="00E54D02" w:rsidRDefault="0045197D" w:rsidP="00E54D02">
      <w:pPr>
        <w:spacing w:line="360" w:lineRule="auto"/>
        <w:ind w:hanging="480"/>
      </w:pPr>
      <w:r w:rsidRPr="00E54D02">
        <w:t xml:space="preserve">Adarov, A., &amp; Stehrer, R. (2020). </w:t>
      </w:r>
      <w:r w:rsidRPr="00E54D02">
        <w:rPr>
          <w:i/>
          <w:iCs/>
        </w:rPr>
        <w:t>New productivity drivers: Revisiting the role of digital capital, FDI and integration at aggregate and sectoral levels</w:t>
      </w:r>
      <w:r w:rsidRPr="00E54D02">
        <w:t>. wiiw Working Paper.</w:t>
      </w:r>
    </w:p>
    <w:p w:rsidR="00E34DF4" w:rsidRPr="00E54D02" w:rsidRDefault="00E34DF4" w:rsidP="00E54D02">
      <w:pPr>
        <w:spacing w:line="360" w:lineRule="auto"/>
        <w:ind w:hanging="480"/>
      </w:pPr>
      <w:r w:rsidRPr="00E54D02">
        <w:t xml:space="preserve">Schandl, H., Fischer-Kowalski, M., West, J., Giljum, S., Dittrich, M., Eisenmenger, N., Geschke, A., Lieber, M., Wieland, H., Schaffartzik, A., Krausmann, F., Gierlinger, S., Hosking, K., Lenzen, M., Tanikawa, H., Miatto, A., &amp; Fishman, T. (2018). Global Material Flows and Resource Productivity: Forty Years of Evidence. In </w:t>
      </w:r>
      <w:r w:rsidRPr="00E54D02">
        <w:rPr>
          <w:i/>
          <w:iCs/>
        </w:rPr>
        <w:t>JOURNAL OF INDUSTRIAL ECOLOGY</w:t>
      </w:r>
      <w:r w:rsidRPr="00E54D02">
        <w:t xml:space="preserve"> (Vol. 22, Issue 4, pp. 827–838). WILEY. </w:t>
      </w:r>
      <w:hyperlink r:id="rId42" w:history="1">
        <w:r w:rsidRPr="00E54D02">
          <w:rPr>
            <w:rStyle w:val="Hypertextovodkaz"/>
          </w:rPr>
          <w:t>https://doi.org/10.1111/jiec.12626</w:t>
        </w:r>
      </w:hyperlink>
    </w:p>
    <w:p w:rsidR="00FE0E91" w:rsidRPr="00E54D02" w:rsidRDefault="00FE0E91" w:rsidP="00E54D02">
      <w:pPr>
        <w:spacing w:afterLines="120" w:after="288" w:line="360" w:lineRule="auto"/>
      </w:pPr>
      <w:r w:rsidRPr="00E54D02">
        <w:t xml:space="preserve">Varadzin, F. (2004). </w:t>
      </w:r>
      <w:r w:rsidRPr="00E54D02">
        <w:rPr>
          <w:i/>
          <w:iCs/>
        </w:rPr>
        <w:t>Ekonomický rozvoj a růst</w:t>
      </w:r>
      <w:r w:rsidRPr="00E54D02">
        <w:t>. Professional Publishing.</w:t>
      </w:r>
    </w:p>
    <w:p w:rsidR="00106BBC" w:rsidRPr="00E54D02" w:rsidRDefault="00106BBC" w:rsidP="00E54D02">
      <w:pPr>
        <w:spacing w:line="360" w:lineRule="auto"/>
        <w:ind w:hanging="480"/>
      </w:pPr>
      <w:r w:rsidRPr="00E54D02">
        <w:t xml:space="preserve">Halkos, G., &amp; Psarianos, I. (2015). </w:t>
      </w:r>
      <w:r w:rsidRPr="00E54D02">
        <w:rPr>
          <w:i/>
          <w:iCs/>
        </w:rPr>
        <w:t>The effect of including the environment in the neoclassical growth model</w:t>
      </w:r>
      <w:r w:rsidRPr="00E54D02">
        <w:t>.</w:t>
      </w:r>
    </w:p>
    <w:p w:rsidR="00651351" w:rsidRPr="00E54D02" w:rsidRDefault="00651351" w:rsidP="00E54D02">
      <w:pPr>
        <w:spacing w:line="360" w:lineRule="auto"/>
        <w:ind w:hanging="480"/>
      </w:pPr>
      <w:r w:rsidRPr="00E54D02">
        <w:t xml:space="preserve">Zhao, S., Jin, M., &amp; Kumbhakar, S. C. (2021). Estimation of firm productivity in the presence of spillovers and common shocks. </w:t>
      </w:r>
      <w:r w:rsidRPr="00E54D02">
        <w:rPr>
          <w:i/>
          <w:iCs/>
        </w:rPr>
        <w:t>Empirical Economics</w:t>
      </w:r>
      <w:r w:rsidRPr="00E54D02">
        <w:t xml:space="preserve">, </w:t>
      </w:r>
      <w:r w:rsidRPr="00E54D02">
        <w:rPr>
          <w:i/>
          <w:iCs/>
        </w:rPr>
        <w:t>60</w:t>
      </w:r>
      <w:r w:rsidRPr="00E54D02">
        <w:t>(6), 3135–3170.</w:t>
      </w:r>
    </w:p>
    <w:p w:rsidR="009B52E9" w:rsidRPr="00E54D02" w:rsidRDefault="009B52E9" w:rsidP="00E54D02">
      <w:pPr>
        <w:spacing w:line="360" w:lineRule="auto"/>
        <w:ind w:hanging="480"/>
      </w:pPr>
      <w:r w:rsidRPr="00E54D02">
        <w:t xml:space="preserve">Prokopenko, J. (1987). </w:t>
      </w:r>
      <w:r w:rsidRPr="00E54D02">
        <w:rPr>
          <w:i/>
          <w:iCs/>
        </w:rPr>
        <w:t>Productivity management: A practical handbook</w:t>
      </w:r>
      <w:r w:rsidRPr="00E54D02">
        <w:t>. International Labour Organization.</w:t>
      </w:r>
    </w:p>
    <w:p w:rsidR="006E1B39" w:rsidRPr="00E54D02" w:rsidRDefault="006E1B39" w:rsidP="00E54D02">
      <w:pPr>
        <w:spacing w:line="360" w:lineRule="auto"/>
        <w:ind w:hanging="480"/>
        <w:rPr>
          <w:rStyle w:val="Hypertextovodkaz"/>
        </w:rPr>
      </w:pPr>
      <w:r w:rsidRPr="00E54D02">
        <w:lastRenderedPageBreak/>
        <w:t xml:space="preserve">Osotimehin, S. (2019). Aggregate productivity and the allocation of resources over the business cycle. </w:t>
      </w:r>
      <w:r w:rsidRPr="00E54D02">
        <w:rPr>
          <w:i/>
          <w:iCs/>
        </w:rPr>
        <w:t>Review of Economic Dynamics</w:t>
      </w:r>
      <w:r w:rsidRPr="00E54D02">
        <w:t xml:space="preserve">, </w:t>
      </w:r>
      <w:r w:rsidRPr="00E54D02">
        <w:rPr>
          <w:i/>
          <w:iCs/>
        </w:rPr>
        <w:t>32</w:t>
      </w:r>
      <w:r w:rsidRPr="00E54D02">
        <w:t xml:space="preserve">, 180–205. </w:t>
      </w:r>
      <w:hyperlink r:id="rId43" w:history="1">
        <w:r w:rsidRPr="00E54D02">
          <w:rPr>
            <w:rStyle w:val="Hypertextovodkaz"/>
          </w:rPr>
          <w:t>https://doi.org/10.1016/j.red.2019.02.003</w:t>
        </w:r>
      </w:hyperlink>
    </w:p>
    <w:p w:rsidR="007653C5" w:rsidRPr="00E54D02" w:rsidRDefault="007653C5" w:rsidP="00E54D02">
      <w:pPr>
        <w:spacing w:line="360" w:lineRule="auto"/>
        <w:ind w:hanging="480"/>
        <w:rPr>
          <w:lang w:eastAsia="en-GB"/>
        </w:rPr>
      </w:pPr>
      <w:r w:rsidRPr="00E54D02">
        <w:t xml:space="preserve">Novotna, M., Leitmanova, I. F., Alina, J., &amp; Volek, T. (2020). Capital Intensity and Labour Productivity in Waste Companies. In </w:t>
      </w:r>
      <w:r w:rsidRPr="00E54D02">
        <w:rPr>
          <w:i/>
          <w:iCs/>
        </w:rPr>
        <w:t>SUSTAINABILITY</w:t>
      </w:r>
      <w:r w:rsidRPr="00E54D02">
        <w:t xml:space="preserve"> (Vol. 12, Issue 24). MDPI. </w:t>
      </w:r>
      <w:hyperlink r:id="rId44" w:history="1">
        <w:r w:rsidRPr="00E54D02">
          <w:rPr>
            <w:rStyle w:val="Hypertextovodkaz"/>
          </w:rPr>
          <w:t>https://doi.org/10.3390/su122410300</w:t>
        </w:r>
      </w:hyperlink>
    </w:p>
    <w:p w:rsidR="007653C5" w:rsidRPr="00E54D02" w:rsidRDefault="007653C5" w:rsidP="00E54D02">
      <w:pPr>
        <w:spacing w:line="360" w:lineRule="auto"/>
        <w:ind w:hanging="480"/>
        <w:rPr>
          <w:rStyle w:val="Hypertextovodkaz"/>
        </w:rPr>
      </w:pPr>
    </w:p>
    <w:p w:rsidR="00D70982" w:rsidRPr="00E54D02" w:rsidRDefault="00D70982" w:rsidP="00E54D02">
      <w:pPr>
        <w:spacing w:line="360" w:lineRule="auto"/>
        <w:ind w:hanging="480"/>
        <w:rPr>
          <w:rStyle w:val="Hypertextovodkaz"/>
        </w:rPr>
      </w:pPr>
    </w:p>
    <w:p w:rsidR="00D70982" w:rsidRPr="00E54D02" w:rsidRDefault="00D70982" w:rsidP="00E54D02">
      <w:pPr>
        <w:spacing w:line="360" w:lineRule="auto"/>
        <w:ind w:hanging="480"/>
      </w:pPr>
      <w:r w:rsidRPr="00E54D02">
        <w:t xml:space="preserve">Valach, J. (2011). Míra a efektivnost investic v České republice. </w:t>
      </w:r>
      <w:r w:rsidRPr="00E54D02">
        <w:rPr>
          <w:i/>
          <w:iCs/>
        </w:rPr>
        <w:t>Český Finanční a Účetní Časopis</w:t>
      </w:r>
      <w:r w:rsidRPr="00E54D02">
        <w:t xml:space="preserve">, </w:t>
      </w:r>
      <w:r w:rsidRPr="00E54D02">
        <w:rPr>
          <w:i/>
          <w:iCs/>
        </w:rPr>
        <w:t>2011</w:t>
      </w:r>
      <w:r w:rsidRPr="00E54D02">
        <w:t xml:space="preserve">, 158–167. </w:t>
      </w:r>
      <w:hyperlink r:id="rId45" w:history="1">
        <w:r w:rsidRPr="00E54D02">
          <w:rPr>
            <w:rStyle w:val="Hypertextovodkaz"/>
          </w:rPr>
          <w:t>https://doi.org/10.18267/j.cfuc.167</w:t>
        </w:r>
      </w:hyperlink>
    </w:p>
    <w:p w:rsidR="007522BA" w:rsidRPr="00E54D02" w:rsidRDefault="007522BA" w:rsidP="00E54D02">
      <w:pPr>
        <w:spacing w:line="360" w:lineRule="auto"/>
        <w:ind w:hanging="480"/>
      </w:pPr>
      <w:r w:rsidRPr="00E54D02">
        <w:t xml:space="preserve">Roubalová, L., &amp; Viskotová, L. (2018). Productivity Development in Selected Central European Countries Measured </w:t>
      </w:r>
      <w:proofErr w:type="gramStart"/>
      <w:r w:rsidRPr="00E54D02">
        <w:t>by the</w:t>
      </w:r>
      <w:proofErr w:type="gramEnd"/>
      <w:r w:rsidRPr="00E54D02">
        <w:t xml:space="preserve"> Sato Production Function. </w:t>
      </w:r>
      <w:r w:rsidRPr="00E54D02">
        <w:rPr>
          <w:i/>
          <w:iCs/>
        </w:rPr>
        <w:t>Review of Economic Perspectives</w:t>
      </w:r>
      <w:r w:rsidRPr="00E54D02">
        <w:t xml:space="preserve">, </w:t>
      </w:r>
      <w:r w:rsidRPr="00E54D02">
        <w:rPr>
          <w:i/>
          <w:iCs/>
        </w:rPr>
        <w:t>18</w:t>
      </w:r>
      <w:r w:rsidRPr="00E54D02">
        <w:t>(4), 353–370.</w:t>
      </w:r>
    </w:p>
    <w:p w:rsidR="00B8171D" w:rsidRPr="00E54D02" w:rsidRDefault="00B8171D" w:rsidP="00E54D02">
      <w:pPr>
        <w:spacing w:line="360" w:lineRule="auto"/>
        <w:ind w:hanging="480"/>
      </w:pPr>
    </w:p>
    <w:p w:rsidR="00B8171D" w:rsidRPr="00E54D02" w:rsidRDefault="00B8171D" w:rsidP="00E54D02">
      <w:pPr>
        <w:spacing w:line="360" w:lineRule="auto"/>
        <w:ind w:hanging="480"/>
      </w:pPr>
      <w:r w:rsidRPr="00E54D02">
        <w:t xml:space="preserve">Hayakawa, K., Machikita, T., &amp; Kimura, F. (2012). GLOBALIZATION AND PRODUCTIVITY: A SURVEY OF FIRM-LEVEL ANALYSIS. In </w:t>
      </w:r>
      <w:r w:rsidRPr="00E54D02">
        <w:rPr>
          <w:i/>
          <w:iCs/>
        </w:rPr>
        <w:t>JOURNAL OF ECONOMIC SURVEYS</w:t>
      </w:r>
      <w:r w:rsidRPr="00E54D02">
        <w:t xml:space="preserve"> (Vol. 26, Issue 2, pp. 332–350). WILEY. </w:t>
      </w:r>
      <w:hyperlink r:id="rId46" w:history="1">
        <w:r w:rsidRPr="00E54D02">
          <w:rPr>
            <w:rStyle w:val="Hypertextovodkaz"/>
          </w:rPr>
          <w:t>https://doi.org/10.1111/j.1467-6419.2010.00653.x</w:t>
        </w:r>
      </w:hyperlink>
    </w:p>
    <w:p w:rsidR="0078335E" w:rsidRPr="00E54D02" w:rsidRDefault="0078335E" w:rsidP="00E54D02">
      <w:pPr>
        <w:spacing w:line="360" w:lineRule="auto"/>
        <w:ind w:hanging="480"/>
      </w:pPr>
      <w:r w:rsidRPr="00E54D02">
        <w:t xml:space="preserve">Tomiura, E. (2007). Foreign outsourcing, exporting, and FDI: A productivity comparison at the firm level. </w:t>
      </w:r>
      <w:r w:rsidRPr="00E54D02">
        <w:rPr>
          <w:i/>
          <w:iCs/>
        </w:rPr>
        <w:t>Journal of International Economics</w:t>
      </w:r>
      <w:r w:rsidRPr="00E54D02">
        <w:t xml:space="preserve">, </w:t>
      </w:r>
      <w:r w:rsidRPr="00E54D02">
        <w:rPr>
          <w:i/>
          <w:iCs/>
        </w:rPr>
        <w:t>72</w:t>
      </w:r>
      <w:r w:rsidRPr="00E54D02">
        <w:t xml:space="preserve">(1), 113–127. </w:t>
      </w:r>
      <w:hyperlink r:id="rId47" w:history="1">
        <w:r w:rsidRPr="00E54D02">
          <w:rPr>
            <w:rStyle w:val="Hypertextovodkaz"/>
          </w:rPr>
          <w:t>https://doi.org/10.1016/j.jinteco.2006.11.003</w:t>
        </w:r>
      </w:hyperlink>
    </w:p>
    <w:p w:rsidR="00724EB5" w:rsidRPr="00E54D02" w:rsidRDefault="00724EB5" w:rsidP="00E54D02">
      <w:pPr>
        <w:spacing w:line="360" w:lineRule="auto"/>
        <w:ind w:hanging="480"/>
      </w:pPr>
    </w:p>
    <w:p w:rsidR="008C4950" w:rsidRPr="00E54D02" w:rsidRDefault="008C4950" w:rsidP="00E54D02">
      <w:pPr>
        <w:spacing w:line="360" w:lineRule="auto"/>
        <w:ind w:hanging="480"/>
      </w:pPr>
    </w:p>
    <w:p w:rsidR="008C4950" w:rsidRPr="00E54D02" w:rsidRDefault="008C4950" w:rsidP="00E54D02">
      <w:pPr>
        <w:spacing w:line="360" w:lineRule="auto"/>
        <w:ind w:hanging="480"/>
      </w:pPr>
      <w:r w:rsidRPr="00E54D02">
        <w:t xml:space="preserve">Kumbhakar, S. C. (2006). Productivity and efficiency measurement using parametric econometric methods. </w:t>
      </w:r>
      <w:r w:rsidRPr="00E54D02">
        <w:rPr>
          <w:i/>
          <w:iCs/>
        </w:rPr>
        <w:t>Transparency, Governance, and Markets. Elsevier, Oxford</w:t>
      </w:r>
      <w:r w:rsidRPr="00E54D02">
        <w:t>, 21–61.</w:t>
      </w:r>
    </w:p>
    <w:p w:rsidR="00202BB8" w:rsidRPr="00E54D02" w:rsidRDefault="00202BB8" w:rsidP="00E54D02">
      <w:pPr>
        <w:pStyle w:val="Zkladntext-prvnodsazen"/>
        <w:spacing w:line="360" w:lineRule="auto"/>
        <w:ind w:firstLine="0"/>
        <w:rPr>
          <w:rFonts w:ascii="Times New Roman" w:hAnsi="Times New Roman" w:cs="Times New Roman"/>
        </w:rPr>
      </w:pPr>
      <w:r w:rsidRPr="00E54D02">
        <w:rPr>
          <w:rFonts w:ascii="Times New Roman" w:hAnsi="Times New Roman" w:cs="Times New Roman"/>
        </w:rPr>
        <w:t>Macáková, L. (2010). Mikroekonomie: základní kurs. 11. vyd. Slaný: Melandrium. ISBN 978-80-86175-70-6.</w:t>
      </w:r>
    </w:p>
    <w:p w:rsidR="008C4950" w:rsidRPr="00E54D02" w:rsidRDefault="008C4950" w:rsidP="00E54D02">
      <w:pPr>
        <w:spacing w:line="360" w:lineRule="auto"/>
        <w:ind w:hanging="480"/>
      </w:pPr>
    </w:p>
    <w:p w:rsidR="00D46094" w:rsidRPr="00E54D02" w:rsidRDefault="00D46094" w:rsidP="00E54D02">
      <w:pPr>
        <w:spacing w:line="360" w:lineRule="auto"/>
        <w:ind w:hanging="480"/>
      </w:pPr>
    </w:p>
    <w:p w:rsidR="00D46094" w:rsidRPr="00E54D02" w:rsidRDefault="00D46094" w:rsidP="00E54D02">
      <w:pPr>
        <w:spacing w:line="360" w:lineRule="auto"/>
        <w:ind w:hanging="480"/>
      </w:pPr>
      <w:r w:rsidRPr="00E54D02">
        <w:t xml:space="preserve">Roubalová, L., &amp; Viskotová, L. (2019). The time augmented Cobb-Douglas production function. </w:t>
      </w:r>
      <w:r w:rsidRPr="00E54D02">
        <w:rPr>
          <w:i/>
          <w:iCs/>
        </w:rPr>
        <w:t>Acta Universitatis Agriculturae et Silviculturae Mendelianae Brunensis</w:t>
      </w:r>
      <w:r w:rsidRPr="00E54D02">
        <w:t>.</w:t>
      </w:r>
    </w:p>
    <w:p w:rsidR="00393A13" w:rsidRPr="00E54D02" w:rsidRDefault="00393A13" w:rsidP="00E54D02">
      <w:pPr>
        <w:spacing w:line="360" w:lineRule="auto"/>
        <w:ind w:hanging="480"/>
      </w:pPr>
    </w:p>
    <w:p w:rsidR="00393A13" w:rsidRPr="00E54D02" w:rsidRDefault="00393A13" w:rsidP="00E54D02">
      <w:pPr>
        <w:spacing w:line="360" w:lineRule="auto"/>
        <w:ind w:hanging="480"/>
      </w:pPr>
      <w:r w:rsidRPr="00E54D02">
        <w:t xml:space="preserve">Auzina-Emsina, Astra. (2014). Labour productivity, economic growth and global competitiveness in post-crisis period. In: 19th International Scientific Conference Economics and Management 2014. Riga, Elsevier science BV, 2014, </w:t>
      </w:r>
      <w:proofErr w:type="gramStart"/>
      <w:r w:rsidRPr="00E54D02">
        <w:t>pp</w:t>
      </w:r>
      <w:proofErr w:type="gramEnd"/>
      <w:r w:rsidRPr="00E54D02">
        <w:t>.</w:t>
      </w:r>
      <w:proofErr w:type="gramStart"/>
      <w:r w:rsidRPr="00E54D02">
        <w:t>317</w:t>
      </w:r>
      <w:proofErr w:type="gramEnd"/>
      <w:r w:rsidRPr="00E54D02">
        <w:t>-321. ISSN: 1877-0428</w:t>
      </w:r>
    </w:p>
    <w:p w:rsidR="00393A13" w:rsidRPr="00E54D02" w:rsidRDefault="00393A13" w:rsidP="00E54D02">
      <w:pPr>
        <w:spacing w:line="360" w:lineRule="auto"/>
        <w:ind w:hanging="480"/>
      </w:pPr>
    </w:p>
    <w:p w:rsidR="00393A13" w:rsidRPr="00E54D02" w:rsidRDefault="00393A13" w:rsidP="00E54D02">
      <w:pPr>
        <w:spacing w:line="360" w:lineRule="auto"/>
        <w:ind w:hanging="480"/>
      </w:pPr>
      <w:r w:rsidRPr="00E54D02">
        <w:lastRenderedPageBreak/>
        <w:t>Broersma, L., &amp; Oosterhaven, J. (2009). Regional Labor Productivity In The Netherlands: Evidence Of Agglomeration And Congestion Effects. Journal of Regional Science, 49(3), 483-511. doi:10.1111/j.1467-</w:t>
      </w:r>
      <w:proofErr w:type="gramStart"/>
      <w:r w:rsidRPr="00E54D02">
        <w:t>9787.2008.00601.x</w:t>
      </w:r>
      <w:proofErr w:type="gramEnd"/>
    </w:p>
    <w:p w:rsidR="00393A13" w:rsidRPr="00E54D02" w:rsidRDefault="00393A13" w:rsidP="00E54D02">
      <w:pPr>
        <w:spacing w:line="360" w:lineRule="auto"/>
        <w:ind w:hanging="480"/>
      </w:pPr>
    </w:p>
    <w:p w:rsidR="00393A13" w:rsidRPr="00E54D02" w:rsidRDefault="00393A13" w:rsidP="00E54D02">
      <w:pPr>
        <w:spacing w:line="360" w:lineRule="auto"/>
        <w:ind w:hanging="480"/>
      </w:pPr>
      <w:r w:rsidRPr="00E54D02">
        <w:t>GUEST, R. 2011. Population ageing, capital intensity and labour productivity. Pacifi c Economic Review, 16(3): 371–388.</w:t>
      </w:r>
    </w:p>
    <w:p w:rsidR="00057F70" w:rsidRPr="00E54D02" w:rsidRDefault="00057F70" w:rsidP="00E54D02">
      <w:pPr>
        <w:spacing w:line="360" w:lineRule="auto"/>
        <w:ind w:hanging="480"/>
        <w:rPr>
          <w:lang w:eastAsia="en-GB"/>
        </w:rPr>
      </w:pPr>
      <w:r w:rsidRPr="00E54D02">
        <w:t xml:space="preserve">Mohun, S. (2009). Aggregate capital productivity in the US economy, 1964–2001. </w:t>
      </w:r>
      <w:r w:rsidRPr="00E54D02">
        <w:rPr>
          <w:i/>
          <w:iCs/>
        </w:rPr>
        <w:t>Cambridge Journal of Economics</w:t>
      </w:r>
      <w:r w:rsidRPr="00E54D02">
        <w:t xml:space="preserve">, </w:t>
      </w:r>
      <w:r w:rsidRPr="00E54D02">
        <w:rPr>
          <w:i/>
          <w:iCs/>
        </w:rPr>
        <w:t>33</w:t>
      </w:r>
      <w:r w:rsidRPr="00E54D02">
        <w:t xml:space="preserve">, 1023–1046. </w:t>
      </w:r>
      <w:hyperlink r:id="rId48" w:history="1">
        <w:r w:rsidRPr="00E54D02">
          <w:rPr>
            <w:rStyle w:val="Hypertextovodkaz"/>
          </w:rPr>
          <w:t>https://doi.org/10.1093/cje/ben045</w:t>
        </w:r>
      </w:hyperlink>
    </w:p>
    <w:p w:rsidR="00B960E9" w:rsidRPr="00E54D02" w:rsidRDefault="00B960E9" w:rsidP="00E54D02">
      <w:pPr>
        <w:spacing w:line="360" w:lineRule="auto"/>
        <w:ind w:hanging="480"/>
      </w:pPr>
      <w:r w:rsidRPr="00E54D02">
        <w:t xml:space="preserve">Comin, D. (2010). Total factor productivity. In </w:t>
      </w:r>
      <w:r w:rsidRPr="00E54D02">
        <w:rPr>
          <w:i/>
          <w:iCs/>
        </w:rPr>
        <w:t>Economic growth</w:t>
      </w:r>
      <w:r w:rsidRPr="00E54D02">
        <w:t xml:space="preserve"> (pp. 260–263). Springer.</w:t>
      </w:r>
    </w:p>
    <w:p w:rsidR="00897BA7" w:rsidRPr="00E54D02" w:rsidRDefault="00897BA7" w:rsidP="00E54D02">
      <w:pPr>
        <w:spacing w:line="360" w:lineRule="auto"/>
        <w:ind w:hanging="480"/>
      </w:pPr>
    </w:p>
    <w:p w:rsidR="00897BA7" w:rsidRPr="00E54D02" w:rsidRDefault="00897BA7" w:rsidP="00E54D02">
      <w:pPr>
        <w:spacing w:line="360" w:lineRule="auto"/>
        <w:ind w:hanging="480"/>
        <w:rPr>
          <w:lang w:eastAsia="en-GB"/>
        </w:rPr>
      </w:pPr>
      <w:r w:rsidRPr="00E54D02">
        <w:t xml:space="preserve">Prescott, E. C. (1998). Lawrence R. Klein lecture 1997: Needed: A theory of total factor productivity. </w:t>
      </w:r>
      <w:r w:rsidRPr="00E54D02">
        <w:rPr>
          <w:i/>
          <w:iCs/>
        </w:rPr>
        <w:t>International Economic Review</w:t>
      </w:r>
      <w:r w:rsidRPr="00E54D02">
        <w:t>, 525–551.</w:t>
      </w:r>
    </w:p>
    <w:p w:rsidR="00897BA7" w:rsidRPr="00E54D02" w:rsidRDefault="00897BA7" w:rsidP="00E54D02">
      <w:pPr>
        <w:spacing w:line="360" w:lineRule="auto"/>
        <w:ind w:hanging="480"/>
        <w:rPr>
          <w:lang w:eastAsia="en-GB"/>
        </w:rPr>
      </w:pPr>
    </w:p>
    <w:p w:rsidR="002714E8" w:rsidRPr="00E54D02" w:rsidRDefault="002714E8" w:rsidP="00E54D02">
      <w:pPr>
        <w:spacing w:line="360" w:lineRule="auto"/>
        <w:ind w:hanging="480"/>
        <w:rPr>
          <w:lang w:val="en-GB" w:eastAsia="en-GB"/>
        </w:rPr>
      </w:pPr>
      <w:r w:rsidRPr="00E54D02">
        <w:rPr>
          <w:lang w:val="en-GB" w:eastAsia="en-GB"/>
        </w:rPr>
        <w:t xml:space="preserve">Gutiérrez, G., &amp; Philippon, T. (2016). </w:t>
      </w:r>
      <w:r w:rsidRPr="00E54D02">
        <w:rPr>
          <w:i/>
          <w:iCs/>
          <w:lang w:val="en-GB" w:eastAsia="en-GB"/>
        </w:rPr>
        <w:t>Investment-less growth: An empirical investigation</w:t>
      </w:r>
      <w:r w:rsidRPr="00E54D02">
        <w:rPr>
          <w:lang w:val="en-GB" w:eastAsia="en-GB"/>
        </w:rPr>
        <w:t>. National Bureau of Economic Research.</w:t>
      </w:r>
    </w:p>
    <w:p w:rsidR="00CE7FD4" w:rsidRPr="00E54D02" w:rsidRDefault="00CE7FD4" w:rsidP="00E54D02">
      <w:pPr>
        <w:spacing w:line="360" w:lineRule="auto"/>
        <w:ind w:hanging="480"/>
        <w:rPr>
          <w:lang w:val="en-GB" w:eastAsia="en-GB"/>
        </w:rPr>
      </w:pPr>
    </w:p>
    <w:p w:rsidR="00CE7FD4" w:rsidRPr="00E54D02" w:rsidRDefault="00CE7FD4" w:rsidP="00E54D02">
      <w:pPr>
        <w:spacing w:line="360" w:lineRule="auto"/>
        <w:jc w:val="both"/>
      </w:pPr>
      <w:r w:rsidRPr="00E54D02">
        <w:t>Giovannini, E. (2010). Ekonomická statistika srozumitelně: Z pohledu OECD. Překlad V. Friedrich, R. Majovská. Wolters Kluwer ČR</w:t>
      </w:r>
    </w:p>
    <w:p w:rsidR="00CE7FD4" w:rsidRPr="00E54D02" w:rsidRDefault="00CE7FD4" w:rsidP="00E54D02">
      <w:pPr>
        <w:spacing w:line="360" w:lineRule="auto"/>
        <w:ind w:hanging="480"/>
        <w:rPr>
          <w:lang w:val="en-GB" w:eastAsia="en-GB"/>
        </w:rPr>
      </w:pPr>
    </w:p>
    <w:p w:rsidR="009C4697" w:rsidRPr="00E54D02" w:rsidRDefault="009C4697" w:rsidP="00E54D02">
      <w:pPr>
        <w:spacing w:line="360" w:lineRule="auto"/>
        <w:jc w:val="both"/>
      </w:pPr>
      <w:r w:rsidRPr="00E54D02">
        <w:t>Kislingerová, E. (2008). Inovace nástrojů ekonomiky a managementu organizací. Praha: C. H. Beck.</w:t>
      </w:r>
    </w:p>
    <w:p w:rsidR="009C4697" w:rsidRPr="00E54D02" w:rsidRDefault="009C4697" w:rsidP="00E54D02">
      <w:pPr>
        <w:spacing w:line="360" w:lineRule="auto"/>
        <w:jc w:val="both"/>
      </w:pPr>
      <w:r w:rsidRPr="00E54D02">
        <w:t>Rojíček, M., Spěváček, V., Vejmělek, J., Zamrazilová, E., &amp; Žďárek, V. (2016). Makroekonomická analýza: teorie a praxe. Praha: Grada.</w:t>
      </w:r>
    </w:p>
    <w:p w:rsidR="00BB269F" w:rsidRPr="00E54D02" w:rsidRDefault="00BB269F" w:rsidP="00E54D02">
      <w:pPr>
        <w:spacing w:line="360" w:lineRule="auto"/>
        <w:jc w:val="both"/>
      </w:pPr>
    </w:p>
    <w:p w:rsidR="00BB269F" w:rsidRPr="00E54D02" w:rsidRDefault="00BB269F" w:rsidP="00E54D02">
      <w:pPr>
        <w:spacing w:line="360" w:lineRule="auto"/>
        <w:ind w:hanging="480"/>
        <w:rPr>
          <w:lang w:eastAsia="en-GB"/>
        </w:rPr>
      </w:pPr>
      <w:r w:rsidRPr="00E54D02">
        <w:t xml:space="preserve">Mattsson, P., Månsson, J., &amp; Greene, W. H. (2020). TFP change and its components for Swedish manufacturing firms during the 2008–2009 financial crisis. </w:t>
      </w:r>
      <w:r w:rsidRPr="00E54D02">
        <w:rPr>
          <w:i/>
          <w:iCs/>
        </w:rPr>
        <w:t>Journal of Productivity Analysis</w:t>
      </w:r>
      <w:r w:rsidRPr="00E54D02">
        <w:t xml:space="preserve">, </w:t>
      </w:r>
      <w:r w:rsidRPr="00E54D02">
        <w:rPr>
          <w:i/>
          <w:iCs/>
        </w:rPr>
        <w:t>53</w:t>
      </w:r>
      <w:r w:rsidRPr="00E54D02">
        <w:t xml:space="preserve">(1), 79–93. </w:t>
      </w:r>
      <w:hyperlink r:id="rId49" w:history="1">
        <w:r w:rsidRPr="00E54D02">
          <w:rPr>
            <w:rStyle w:val="Hypertextovodkaz"/>
          </w:rPr>
          <w:t>https://doi.org/10.1007/s11123-019-00561-w</w:t>
        </w:r>
      </w:hyperlink>
    </w:p>
    <w:p w:rsidR="00EE49C2" w:rsidRPr="00E54D02" w:rsidRDefault="00EE49C2" w:rsidP="00E54D02">
      <w:pPr>
        <w:spacing w:line="360" w:lineRule="auto"/>
        <w:ind w:hanging="480"/>
      </w:pPr>
    </w:p>
    <w:p w:rsidR="00EE49C2" w:rsidRPr="00E54D02" w:rsidRDefault="00EE49C2" w:rsidP="00E54D02">
      <w:pPr>
        <w:spacing w:line="360" w:lineRule="auto"/>
        <w:ind w:hanging="480"/>
        <w:rPr>
          <w:lang w:eastAsia="en-GB"/>
        </w:rPr>
      </w:pPr>
      <w:r w:rsidRPr="00E54D02">
        <w:t xml:space="preserve">Abramovitz, M. (1994). </w:t>
      </w:r>
      <w:r w:rsidRPr="00E54D02">
        <w:rPr>
          <w:i/>
          <w:iCs/>
        </w:rPr>
        <w:t>Convergence and deferred catch-up productivity leadership and the waning of American exceptionalism</w:t>
      </w:r>
      <w:r w:rsidRPr="00E54D02">
        <w:t>.</w:t>
      </w:r>
    </w:p>
    <w:p w:rsidR="004015FB" w:rsidRPr="00E54D02" w:rsidRDefault="004015FB" w:rsidP="00E54D02">
      <w:pPr>
        <w:spacing w:line="360" w:lineRule="auto"/>
        <w:ind w:hanging="480"/>
      </w:pPr>
      <w:r w:rsidRPr="00E54D02">
        <w:t xml:space="preserve">Perez-Trujillo, M., &amp; Lacalle-Calderon, M. (2020). The impact of knowledge diffusion on economic growth across countries. In </w:t>
      </w:r>
      <w:r w:rsidRPr="00E54D02">
        <w:rPr>
          <w:i/>
          <w:iCs/>
        </w:rPr>
        <w:t>WORLD DEVELOPMENT</w:t>
      </w:r>
      <w:r w:rsidRPr="00E54D02">
        <w:t xml:space="preserve"> (Vol. 132). PERGAMON-ELSEVIER SCIENCE LTD. </w:t>
      </w:r>
      <w:hyperlink r:id="rId50" w:history="1">
        <w:r w:rsidRPr="00E54D02">
          <w:rPr>
            <w:rStyle w:val="Hypertextovodkaz"/>
          </w:rPr>
          <w:t>https://doi.org/10.1016/j.worlddev.2020.104995</w:t>
        </w:r>
      </w:hyperlink>
    </w:p>
    <w:p w:rsidR="004015FB" w:rsidRPr="00E54D02" w:rsidRDefault="004015FB" w:rsidP="00E54D02">
      <w:pPr>
        <w:shd w:val="clear" w:color="auto" w:fill="FFFFFF"/>
        <w:spacing w:after="360" w:line="360" w:lineRule="auto"/>
        <w:rPr>
          <w:color w:val="333333"/>
          <w:lang w:val="en-GB" w:eastAsia="en-GB"/>
        </w:rPr>
      </w:pPr>
    </w:p>
    <w:p w:rsidR="008565D4" w:rsidRPr="00E54D02" w:rsidRDefault="008565D4" w:rsidP="00E54D02">
      <w:pPr>
        <w:pStyle w:val="Odstavecseseznamem"/>
        <w:numPr>
          <w:ilvl w:val="0"/>
          <w:numId w:val="9"/>
        </w:numPr>
        <w:spacing w:after="0" w:line="360" w:lineRule="auto"/>
        <w:ind w:left="360"/>
        <w:rPr>
          <w:rFonts w:ascii="Times New Roman" w:hAnsi="Times New Roman" w:cs="Times New Roman"/>
          <w:sz w:val="24"/>
          <w:szCs w:val="24"/>
          <w:lang w:val="en-GB"/>
        </w:rPr>
      </w:pPr>
      <w:r w:rsidRPr="00E54D02">
        <w:rPr>
          <w:rFonts w:ascii="Times New Roman" w:hAnsi="Times New Roman" w:cs="Times New Roman"/>
          <w:sz w:val="24"/>
          <w:szCs w:val="24"/>
          <w:lang w:val="en-GB"/>
        </w:rPr>
        <w:lastRenderedPageBreak/>
        <w:t xml:space="preserve">Pineiro-Villaverde, G., &amp; García-Álvarez, M. T. (2020). Sustainable Consumption and Production: Exploring the Links with Resources Productivity in the EU-28. Sustainability, 12(21), 8760. </w:t>
      </w:r>
      <w:hyperlink r:id="rId51" w:history="1">
        <w:r w:rsidRPr="00E54D02">
          <w:rPr>
            <w:rFonts w:ascii="Times New Roman" w:hAnsi="Times New Roman" w:cs="Times New Roman"/>
            <w:sz w:val="24"/>
            <w:szCs w:val="24"/>
            <w:lang w:val="en-GB"/>
          </w:rPr>
          <w:t>https://doi.org/10.3390/su12218760</w:t>
        </w:r>
      </w:hyperlink>
    </w:p>
    <w:p w:rsidR="00FC7B51" w:rsidRPr="00E54D02" w:rsidRDefault="00FC7B51" w:rsidP="00E54D02">
      <w:pPr>
        <w:pStyle w:val="Odstavecseseznamem"/>
        <w:numPr>
          <w:ilvl w:val="0"/>
          <w:numId w:val="9"/>
        </w:numPr>
        <w:spacing w:line="360" w:lineRule="auto"/>
        <w:rPr>
          <w:rFonts w:ascii="Times New Roman" w:hAnsi="Times New Roman" w:cs="Times New Roman"/>
          <w:sz w:val="24"/>
          <w:szCs w:val="24"/>
        </w:rPr>
      </w:pPr>
      <w:r w:rsidRPr="00E54D02">
        <w:rPr>
          <w:rFonts w:ascii="Times New Roman" w:hAnsi="Times New Roman" w:cs="Times New Roman"/>
          <w:sz w:val="24"/>
          <w:szCs w:val="24"/>
        </w:rPr>
        <w:t>Volek, T., &amp; Novotna, M. (2021). Resource Efficiency and Economic Growth in V4 Countries. In Loster, T and Pavelka, T (Ed.), 15th INTERNATIONAL</w:t>
      </w:r>
      <w:r w:rsidRPr="00E54D02">
        <w:rPr>
          <w:rFonts w:ascii="Times New Roman" w:hAnsi="Times New Roman" w:cs="Times New Roman"/>
          <w:i/>
          <w:iCs/>
          <w:sz w:val="24"/>
          <w:szCs w:val="24"/>
        </w:rPr>
        <w:t xml:space="preserve"> DAYS OF STATISTICS AND ECONOMICS</w:t>
      </w:r>
      <w:r w:rsidRPr="00E54D02">
        <w:rPr>
          <w:rFonts w:ascii="Times New Roman" w:hAnsi="Times New Roman" w:cs="Times New Roman"/>
          <w:sz w:val="24"/>
          <w:szCs w:val="24"/>
        </w:rPr>
        <w:t xml:space="preserve"> . MELANDRIUM. </w:t>
      </w:r>
    </w:p>
    <w:p w:rsidR="000F2B27" w:rsidRPr="00E54D02" w:rsidRDefault="000F2B27" w:rsidP="00E54D02">
      <w:pPr>
        <w:pStyle w:val="Odstavecseseznamem"/>
        <w:numPr>
          <w:ilvl w:val="0"/>
          <w:numId w:val="9"/>
        </w:numPr>
        <w:spacing w:line="360" w:lineRule="auto"/>
        <w:rPr>
          <w:rFonts w:ascii="Times New Roman" w:hAnsi="Times New Roman" w:cs="Times New Roman"/>
          <w:sz w:val="24"/>
          <w:szCs w:val="24"/>
          <w:lang w:eastAsia="en-GB"/>
        </w:rPr>
      </w:pPr>
      <w:r w:rsidRPr="00E54D02">
        <w:rPr>
          <w:rFonts w:ascii="Times New Roman" w:hAnsi="Times New Roman" w:cs="Times New Roman"/>
          <w:sz w:val="24"/>
          <w:szCs w:val="24"/>
        </w:rPr>
        <w:t xml:space="preserve">Gallardo-Albarrán, D., &amp; Inklaar, R. (2021). THE ROLE OF CAPITAL AND PRODUCTIVITY IN ACCOUNTING FOR INCOME DIFFERENCES SINCE 1913. </w:t>
      </w:r>
      <w:r w:rsidRPr="00E54D02">
        <w:rPr>
          <w:rFonts w:ascii="Times New Roman" w:hAnsi="Times New Roman" w:cs="Times New Roman"/>
          <w:i/>
          <w:iCs/>
          <w:sz w:val="24"/>
          <w:szCs w:val="24"/>
        </w:rPr>
        <w:t>Journal of Economic Surveys</w:t>
      </w:r>
      <w:r w:rsidRPr="00E54D02">
        <w:rPr>
          <w:rFonts w:ascii="Times New Roman" w:hAnsi="Times New Roman" w:cs="Times New Roman"/>
          <w:sz w:val="24"/>
          <w:szCs w:val="24"/>
        </w:rPr>
        <w:t xml:space="preserve">, </w:t>
      </w:r>
      <w:r w:rsidRPr="00E54D02">
        <w:rPr>
          <w:rFonts w:ascii="Times New Roman" w:hAnsi="Times New Roman" w:cs="Times New Roman"/>
          <w:i/>
          <w:iCs/>
          <w:sz w:val="24"/>
          <w:szCs w:val="24"/>
        </w:rPr>
        <w:t>35</w:t>
      </w:r>
      <w:r w:rsidRPr="00E54D02">
        <w:rPr>
          <w:rFonts w:ascii="Times New Roman" w:hAnsi="Times New Roman" w:cs="Times New Roman"/>
          <w:sz w:val="24"/>
          <w:szCs w:val="24"/>
        </w:rPr>
        <w:t xml:space="preserve">(3), 952–974. </w:t>
      </w:r>
      <w:hyperlink r:id="rId52" w:history="1">
        <w:r w:rsidRPr="00E54D02">
          <w:rPr>
            <w:rStyle w:val="Hypertextovodkaz"/>
            <w:rFonts w:ascii="Times New Roman" w:hAnsi="Times New Roman" w:cs="Times New Roman"/>
            <w:sz w:val="24"/>
            <w:szCs w:val="24"/>
          </w:rPr>
          <w:t>https://doi.org/10.1111/joes.12374</w:t>
        </w:r>
      </w:hyperlink>
    </w:p>
    <w:p w:rsidR="00F3549C" w:rsidRPr="00E54D02" w:rsidRDefault="00F3549C" w:rsidP="00E54D02">
      <w:pPr>
        <w:pStyle w:val="Odstavecseseznamem"/>
        <w:numPr>
          <w:ilvl w:val="0"/>
          <w:numId w:val="9"/>
        </w:numPr>
        <w:spacing w:line="360" w:lineRule="auto"/>
        <w:rPr>
          <w:rFonts w:ascii="Times New Roman" w:hAnsi="Times New Roman" w:cs="Times New Roman"/>
          <w:sz w:val="24"/>
          <w:szCs w:val="24"/>
        </w:rPr>
      </w:pPr>
      <w:r w:rsidRPr="00E54D02">
        <w:rPr>
          <w:rFonts w:ascii="Times New Roman" w:hAnsi="Times New Roman" w:cs="Times New Roman"/>
          <w:sz w:val="24"/>
          <w:szCs w:val="24"/>
        </w:rPr>
        <w:t xml:space="preserve">Boussemart, </w:t>
      </w:r>
      <w:proofErr w:type="gramStart"/>
      <w:r w:rsidRPr="00E54D02">
        <w:rPr>
          <w:rFonts w:ascii="Times New Roman" w:hAnsi="Times New Roman" w:cs="Times New Roman"/>
          <w:sz w:val="24"/>
          <w:szCs w:val="24"/>
        </w:rPr>
        <w:t>J.-P.</w:t>
      </w:r>
      <w:proofErr w:type="gramEnd"/>
      <w:r w:rsidRPr="00E54D02">
        <w:rPr>
          <w:rFonts w:ascii="Times New Roman" w:hAnsi="Times New Roman" w:cs="Times New Roman"/>
          <w:sz w:val="24"/>
          <w:szCs w:val="24"/>
        </w:rPr>
        <w:t xml:space="preserve">, Leleu, H., Mensah, E., &amp; Shitikova, K. (2020). Technological catching-up and structural convergence among US industries. </w:t>
      </w:r>
      <w:r w:rsidRPr="00E54D02">
        <w:rPr>
          <w:rFonts w:ascii="Times New Roman" w:hAnsi="Times New Roman" w:cs="Times New Roman"/>
          <w:i/>
          <w:iCs/>
          <w:sz w:val="24"/>
          <w:szCs w:val="24"/>
        </w:rPr>
        <w:t>Economic Modelling</w:t>
      </w:r>
      <w:r w:rsidRPr="00E54D02">
        <w:rPr>
          <w:rFonts w:ascii="Times New Roman" w:hAnsi="Times New Roman" w:cs="Times New Roman"/>
          <w:sz w:val="24"/>
          <w:szCs w:val="24"/>
        </w:rPr>
        <w:t xml:space="preserve">, </w:t>
      </w:r>
      <w:r w:rsidRPr="00E54D02">
        <w:rPr>
          <w:rFonts w:ascii="Times New Roman" w:hAnsi="Times New Roman" w:cs="Times New Roman"/>
          <w:i/>
          <w:iCs/>
          <w:sz w:val="24"/>
          <w:szCs w:val="24"/>
        </w:rPr>
        <w:t>84</w:t>
      </w:r>
      <w:r w:rsidRPr="00E54D02">
        <w:rPr>
          <w:rFonts w:ascii="Times New Roman" w:hAnsi="Times New Roman" w:cs="Times New Roman"/>
          <w:sz w:val="24"/>
          <w:szCs w:val="24"/>
        </w:rPr>
        <w:t xml:space="preserve">, 135–146. </w:t>
      </w:r>
      <w:hyperlink r:id="rId53" w:history="1">
        <w:r w:rsidRPr="00E54D02">
          <w:rPr>
            <w:rStyle w:val="Hypertextovodkaz"/>
            <w:rFonts w:ascii="Times New Roman" w:hAnsi="Times New Roman" w:cs="Times New Roman"/>
            <w:sz w:val="24"/>
            <w:szCs w:val="24"/>
          </w:rPr>
          <w:t>https://doi.org/10.1016/j.econmod.2019.03.014</w:t>
        </w:r>
      </w:hyperlink>
    </w:p>
    <w:p w:rsidR="00F3549C" w:rsidRPr="00E54D02" w:rsidRDefault="00F3549C" w:rsidP="00E54D02">
      <w:pPr>
        <w:pStyle w:val="Odstavecseseznamem"/>
        <w:numPr>
          <w:ilvl w:val="0"/>
          <w:numId w:val="9"/>
        </w:numPr>
        <w:spacing w:line="360" w:lineRule="auto"/>
        <w:rPr>
          <w:rFonts w:ascii="Times New Roman" w:hAnsi="Times New Roman" w:cs="Times New Roman"/>
          <w:sz w:val="24"/>
          <w:szCs w:val="24"/>
        </w:rPr>
      </w:pPr>
    </w:p>
    <w:p w:rsidR="00F3549C" w:rsidRPr="00E54D02" w:rsidRDefault="00F3549C" w:rsidP="00E54D02">
      <w:pPr>
        <w:pStyle w:val="Odstavecseseznamem"/>
        <w:numPr>
          <w:ilvl w:val="0"/>
          <w:numId w:val="9"/>
        </w:numPr>
        <w:spacing w:line="360" w:lineRule="auto"/>
        <w:rPr>
          <w:rFonts w:ascii="Times New Roman" w:hAnsi="Times New Roman" w:cs="Times New Roman"/>
          <w:sz w:val="24"/>
          <w:szCs w:val="24"/>
        </w:rPr>
      </w:pPr>
      <w:r w:rsidRPr="00E54D02">
        <w:rPr>
          <w:rFonts w:ascii="Times New Roman" w:hAnsi="Times New Roman" w:cs="Times New Roman"/>
          <w:sz w:val="24"/>
          <w:szCs w:val="24"/>
        </w:rPr>
        <w:t xml:space="preserve">Boussemart, </w:t>
      </w:r>
      <w:proofErr w:type="gramStart"/>
      <w:r w:rsidRPr="00E54D02">
        <w:rPr>
          <w:rFonts w:ascii="Times New Roman" w:hAnsi="Times New Roman" w:cs="Times New Roman"/>
          <w:sz w:val="24"/>
          <w:szCs w:val="24"/>
        </w:rPr>
        <w:t>J.-P.</w:t>
      </w:r>
      <w:proofErr w:type="gramEnd"/>
      <w:r w:rsidRPr="00E54D02">
        <w:rPr>
          <w:rFonts w:ascii="Times New Roman" w:hAnsi="Times New Roman" w:cs="Times New Roman"/>
          <w:sz w:val="24"/>
          <w:szCs w:val="24"/>
        </w:rPr>
        <w:t xml:space="preserve">, Leleu, H., Mensah, E., &amp; Shitikova, K. (2017). </w:t>
      </w:r>
      <w:r w:rsidRPr="00E54D02">
        <w:rPr>
          <w:rFonts w:ascii="Times New Roman" w:hAnsi="Times New Roman" w:cs="Times New Roman"/>
          <w:i/>
          <w:iCs/>
          <w:sz w:val="24"/>
          <w:szCs w:val="24"/>
        </w:rPr>
        <w:t>Technological catching-up and growth convergence among US industries</w:t>
      </w:r>
      <w:r w:rsidRPr="00E54D02">
        <w:rPr>
          <w:rFonts w:ascii="Times New Roman" w:hAnsi="Times New Roman" w:cs="Times New Roman"/>
          <w:sz w:val="24"/>
          <w:szCs w:val="24"/>
        </w:rPr>
        <w:t>.</w:t>
      </w:r>
    </w:p>
    <w:p w:rsidR="00F3549C" w:rsidRPr="00E54D02" w:rsidRDefault="00800EDC" w:rsidP="00800EDC">
      <w:pPr>
        <w:pStyle w:val="Odstavecseseznamem"/>
        <w:spacing w:line="360" w:lineRule="auto"/>
        <w:rPr>
          <w:rFonts w:ascii="Times New Roman" w:hAnsi="Times New Roman" w:cs="Times New Roman"/>
          <w:sz w:val="24"/>
          <w:szCs w:val="24"/>
        </w:rPr>
      </w:pPr>
      <w:r>
        <w:t>Sedláček, M.: Vliv dotace na konkurenceschopnost podniku - předběžná analýza. Politická ekonomie 63(4), 474–497 (2015). DOI:10.18267/j.</w:t>
      </w:r>
      <w:proofErr w:type="gramStart"/>
      <w:r>
        <w:t>polek.1031</w:t>
      </w:r>
      <w:proofErr w:type="gramEnd"/>
      <w:r>
        <w:t>.</w:t>
      </w:r>
    </w:p>
    <w:p w:rsidR="00F3549C" w:rsidRPr="00E54D02" w:rsidRDefault="00F3549C" w:rsidP="00E54D02">
      <w:pPr>
        <w:pStyle w:val="Odstavecseseznamem"/>
        <w:numPr>
          <w:ilvl w:val="0"/>
          <w:numId w:val="9"/>
        </w:numPr>
        <w:spacing w:line="360" w:lineRule="auto"/>
        <w:rPr>
          <w:rFonts w:ascii="Times New Roman" w:hAnsi="Times New Roman" w:cs="Times New Roman"/>
          <w:sz w:val="24"/>
          <w:szCs w:val="24"/>
        </w:rPr>
      </w:pPr>
      <w:r w:rsidRPr="00E54D02">
        <w:rPr>
          <w:rFonts w:ascii="Times New Roman" w:hAnsi="Times New Roman" w:cs="Times New Roman"/>
          <w:sz w:val="24"/>
          <w:szCs w:val="24"/>
        </w:rPr>
        <w:t xml:space="preserve">Komarek, L., Motl, M., Novotny, F., &amp; Prokop, L. (2012). Nemecka ekonomicka “lokomotiva” a ceska ekonomika. </w:t>
      </w:r>
      <w:r w:rsidRPr="00E54D02">
        <w:rPr>
          <w:rFonts w:ascii="Times New Roman" w:hAnsi="Times New Roman" w:cs="Times New Roman"/>
          <w:i/>
          <w:iCs/>
          <w:sz w:val="24"/>
          <w:szCs w:val="24"/>
        </w:rPr>
        <w:t>Politicka Ekonomie</w:t>
      </w:r>
      <w:r w:rsidRPr="00E54D02">
        <w:rPr>
          <w:rFonts w:ascii="Times New Roman" w:hAnsi="Times New Roman" w:cs="Times New Roman"/>
          <w:sz w:val="24"/>
          <w:szCs w:val="24"/>
        </w:rPr>
        <w:t xml:space="preserve">, </w:t>
      </w:r>
      <w:r w:rsidRPr="00E54D02">
        <w:rPr>
          <w:rFonts w:ascii="Times New Roman" w:hAnsi="Times New Roman" w:cs="Times New Roman"/>
          <w:i/>
          <w:iCs/>
          <w:sz w:val="24"/>
          <w:szCs w:val="24"/>
        </w:rPr>
        <w:t>60</w:t>
      </w:r>
      <w:r w:rsidRPr="00E54D02">
        <w:rPr>
          <w:rFonts w:ascii="Times New Roman" w:hAnsi="Times New Roman" w:cs="Times New Roman"/>
          <w:sz w:val="24"/>
          <w:szCs w:val="24"/>
        </w:rPr>
        <w:t xml:space="preserve">(4), 442–458. </w:t>
      </w:r>
      <w:hyperlink r:id="rId54" w:history="1">
        <w:r w:rsidRPr="00E54D02">
          <w:rPr>
            <w:rStyle w:val="Hypertextovodkaz"/>
            <w:rFonts w:ascii="Times New Roman" w:hAnsi="Times New Roman" w:cs="Times New Roman"/>
            <w:sz w:val="24"/>
            <w:szCs w:val="24"/>
          </w:rPr>
          <w:t>https://doi.org/10.18267/j.polek.856</w:t>
        </w:r>
      </w:hyperlink>
    </w:p>
    <w:p w:rsidR="00F3549C" w:rsidRPr="00E54D02" w:rsidRDefault="00800EDC" w:rsidP="00800EDC">
      <w:pPr>
        <w:pStyle w:val="Odstavecseseznamem"/>
        <w:shd w:val="clear" w:color="auto" w:fill="FFFFFF"/>
        <w:spacing w:after="360" w:line="360" w:lineRule="auto"/>
        <w:rPr>
          <w:rFonts w:ascii="Times New Roman" w:hAnsi="Times New Roman" w:cs="Times New Roman"/>
          <w:sz w:val="24"/>
          <w:szCs w:val="24"/>
        </w:rPr>
      </w:pPr>
      <w:r>
        <w:t>OECD. Technology and the economy: The key relationship. OECD, Paris (1992)</w:t>
      </w:r>
    </w:p>
    <w:p w:rsidR="00F3549C" w:rsidRPr="00E54D02" w:rsidRDefault="00F3549C" w:rsidP="00E54D02">
      <w:pPr>
        <w:pStyle w:val="Odstavecseseznamem"/>
        <w:numPr>
          <w:ilvl w:val="0"/>
          <w:numId w:val="9"/>
        </w:numPr>
        <w:shd w:val="clear" w:color="auto" w:fill="FFFFFF"/>
        <w:spacing w:after="360" w:line="360" w:lineRule="auto"/>
        <w:rPr>
          <w:rFonts w:ascii="Times New Roman" w:hAnsi="Times New Roman" w:cs="Times New Roman"/>
          <w:color w:val="222222"/>
          <w:sz w:val="24"/>
          <w:szCs w:val="24"/>
          <w:shd w:val="clear" w:color="auto" w:fill="FFFFFF"/>
        </w:rPr>
      </w:pPr>
      <w:r w:rsidRPr="00E54D02">
        <w:rPr>
          <w:rFonts w:ascii="Times New Roman" w:hAnsi="Times New Roman" w:cs="Times New Roman"/>
          <w:color w:val="222222"/>
          <w:sz w:val="24"/>
          <w:szCs w:val="24"/>
          <w:shd w:val="clear" w:color="auto" w:fill="FFFFFF"/>
        </w:rPr>
        <w:t>Žďárek, V. (2006). Vybrané problémy reálné a nominální konvergence. In </w:t>
      </w:r>
      <w:r w:rsidRPr="00E54D02">
        <w:rPr>
          <w:rFonts w:ascii="Times New Roman" w:hAnsi="Times New Roman" w:cs="Times New Roman"/>
          <w:i/>
          <w:iCs/>
          <w:color w:val="222222"/>
          <w:sz w:val="24"/>
          <w:szCs w:val="24"/>
          <w:shd w:val="clear" w:color="auto" w:fill="FFFFFF"/>
        </w:rPr>
        <w:t>Konference Firma a konkurenční</w:t>
      </w:r>
      <w:r w:rsidRPr="00E54D02">
        <w:rPr>
          <w:rFonts w:ascii="Times New Roman" w:hAnsi="Times New Roman" w:cs="Times New Roman"/>
          <w:color w:val="222222"/>
          <w:sz w:val="24"/>
          <w:szCs w:val="24"/>
          <w:shd w:val="clear" w:color="auto" w:fill="FFFFFF"/>
        </w:rPr>
        <w:t>.</w:t>
      </w:r>
    </w:p>
    <w:p w:rsidR="00F3549C" w:rsidRPr="00E54D02" w:rsidRDefault="00F3549C" w:rsidP="00E54D02">
      <w:pPr>
        <w:pStyle w:val="Odstavecseseznamem"/>
        <w:numPr>
          <w:ilvl w:val="0"/>
          <w:numId w:val="9"/>
        </w:numPr>
        <w:shd w:val="clear" w:color="auto" w:fill="FFFFFF"/>
        <w:spacing w:after="360" w:line="360" w:lineRule="auto"/>
        <w:rPr>
          <w:rFonts w:ascii="Times New Roman" w:hAnsi="Times New Roman" w:cs="Times New Roman"/>
          <w:color w:val="222222"/>
          <w:sz w:val="24"/>
          <w:szCs w:val="24"/>
          <w:shd w:val="clear" w:color="auto" w:fill="FFFFFF"/>
        </w:rPr>
      </w:pPr>
    </w:p>
    <w:p w:rsidR="00F3549C" w:rsidRPr="00E54D02" w:rsidRDefault="00F3549C" w:rsidP="00E54D02">
      <w:pPr>
        <w:pStyle w:val="Odstavecseseznamem"/>
        <w:numPr>
          <w:ilvl w:val="0"/>
          <w:numId w:val="9"/>
        </w:numPr>
        <w:shd w:val="clear" w:color="auto" w:fill="FFFFFF"/>
        <w:spacing w:after="360" w:line="360" w:lineRule="auto"/>
        <w:rPr>
          <w:rFonts w:ascii="Times New Roman" w:hAnsi="Times New Roman" w:cs="Times New Roman"/>
          <w:color w:val="333333"/>
          <w:sz w:val="24"/>
          <w:szCs w:val="24"/>
          <w:lang w:val="en-GB" w:eastAsia="en-GB"/>
        </w:rPr>
      </w:pPr>
      <w:r w:rsidRPr="00E54D02">
        <w:rPr>
          <w:rFonts w:ascii="Times New Roman" w:hAnsi="Times New Roman" w:cs="Times New Roman"/>
          <w:color w:val="494748"/>
          <w:spacing w:val="-4"/>
          <w:sz w:val="24"/>
          <w:szCs w:val="24"/>
        </w:rPr>
        <w:t>Vintrová, R. (2013). Konvergenční proces ve středoevropských nových členských státech Evropské unie a jeho změny v období recese. </w:t>
      </w:r>
      <w:r w:rsidRPr="00E54D02">
        <w:rPr>
          <w:rFonts w:ascii="Times New Roman" w:hAnsi="Times New Roman" w:cs="Times New Roman"/>
          <w:i/>
          <w:iCs/>
          <w:color w:val="494748"/>
          <w:spacing w:val="-4"/>
          <w:sz w:val="24"/>
          <w:szCs w:val="24"/>
        </w:rPr>
        <w:t>Ekonomický časopis/Journal of Economics</w:t>
      </w:r>
      <w:r w:rsidRPr="00E54D02">
        <w:rPr>
          <w:rFonts w:ascii="Times New Roman" w:hAnsi="Times New Roman" w:cs="Times New Roman"/>
          <w:color w:val="494748"/>
          <w:spacing w:val="-4"/>
          <w:sz w:val="24"/>
          <w:szCs w:val="24"/>
        </w:rPr>
        <w:t>, 61(2), 111-133. ISSN 0013-3035.</w:t>
      </w:r>
    </w:p>
    <w:p w:rsidR="00571FF5" w:rsidRPr="00E54D02" w:rsidRDefault="00571FF5" w:rsidP="00E54D02">
      <w:pPr>
        <w:pStyle w:val="Odstavecseseznamem"/>
        <w:numPr>
          <w:ilvl w:val="0"/>
          <w:numId w:val="9"/>
        </w:numPr>
        <w:spacing w:line="360" w:lineRule="auto"/>
        <w:rPr>
          <w:sz w:val="24"/>
          <w:szCs w:val="24"/>
        </w:rPr>
      </w:pPr>
      <w:r w:rsidRPr="00E54D02">
        <w:rPr>
          <w:sz w:val="24"/>
          <w:szCs w:val="24"/>
        </w:rPr>
        <w:t xml:space="preserve">Bottazzi, G., Secchi, A., &amp; Tamagni, F. (2008). Productivity, profitability and financial performance. In </w:t>
      </w:r>
      <w:r w:rsidRPr="00E54D02">
        <w:rPr>
          <w:i/>
          <w:iCs/>
          <w:sz w:val="24"/>
          <w:szCs w:val="24"/>
        </w:rPr>
        <w:t>INDUSTRIAL AND CORPORATE CHANGE</w:t>
      </w:r>
      <w:r w:rsidRPr="00E54D02">
        <w:rPr>
          <w:sz w:val="24"/>
          <w:szCs w:val="24"/>
        </w:rPr>
        <w:t xml:space="preserve"> (Vol. 17, Issue 4, pp. 711–751). OXFORD UNIV PRESS. </w:t>
      </w:r>
      <w:hyperlink r:id="rId55" w:history="1">
        <w:r w:rsidRPr="00E54D02">
          <w:rPr>
            <w:rStyle w:val="Hypertextovodkaz"/>
            <w:sz w:val="24"/>
            <w:szCs w:val="24"/>
          </w:rPr>
          <w:t>https://doi.org/10.1093/icc/dtn027</w:t>
        </w:r>
      </w:hyperlink>
    </w:p>
    <w:p w:rsidR="00571FF5" w:rsidRPr="00E54D02" w:rsidRDefault="00571FF5" w:rsidP="00E54D02">
      <w:pPr>
        <w:pStyle w:val="Odstavecseseznamem"/>
        <w:numPr>
          <w:ilvl w:val="0"/>
          <w:numId w:val="9"/>
        </w:numPr>
        <w:spacing w:line="360" w:lineRule="auto"/>
        <w:rPr>
          <w:sz w:val="24"/>
          <w:szCs w:val="24"/>
        </w:rPr>
      </w:pPr>
      <w:r w:rsidRPr="00E54D02">
        <w:rPr>
          <w:sz w:val="24"/>
          <w:szCs w:val="24"/>
        </w:rPr>
        <w:t xml:space="preserve">van den Berg, M., van Marrewijk, C., &amp; Tamminen, S. (2018). Trade, productivity and profitability: On profit levels and profit margins. In </w:t>
      </w:r>
      <w:r w:rsidRPr="00E54D02">
        <w:rPr>
          <w:i/>
          <w:iCs/>
          <w:sz w:val="24"/>
          <w:szCs w:val="24"/>
        </w:rPr>
        <w:t>WORLD ECONOMY</w:t>
      </w:r>
      <w:r w:rsidRPr="00E54D02">
        <w:rPr>
          <w:sz w:val="24"/>
          <w:szCs w:val="24"/>
        </w:rPr>
        <w:t xml:space="preserve"> (Vol. 41, Issues 8, SI, pp. 2149–2174). WILEY. </w:t>
      </w:r>
      <w:hyperlink r:id="rId56" w:history="1">
        <w:r w:rsidRPr="00E54D02">
          <w:rPr>
            <w:rStyle w:val="Hypertextovodkaz"/>
            <w:sz w:val="24"/>
            <w:szCs w:val="24"/>
          </w:rPr>
          <w:t>https://doi.org/10.1111/twec.12630</w:t>
        </w:r>
      </w:hyperlink>
    </w:p>
    <w:p w:rsidR="003A1DD0" w:rsidRDefault="003A1DD0" w:rsidP="003A1DD0">
      <w:pPr>
        <w:pStyle w:val="Odstavecseseznamem"/>
        <w:numPr>
          <w:ilvl w:val="0"/>
          <w:numId w:val="9"/>
        </w:numPr>
        <w:spacing w:line="480" w:lineRule="auto"/>
        <w:rPr>
          <w:sz w:val="24"/>
          <w:szCs w:val="24"/>
        </w:rPr>
      </w:pPr>
      <w:r>
        <w:lastRenderedPageBreak/>
        <w:t xml:space="preserve">McGowan, M. A., Andrews, D., Criscuolo, C., &amp; Nicoletti, G. (2015). The future of productivity. </w:t>
      </w:r>
      <w:r w:rsidRPr="003A1DD0">
        <w:rPr>
          <w:i/>
          <w:iCs/>
        </w:rPr>
        <w:t>OECD</w:t>
      </w:r>
      <w:r>
        <w:t>, 1–102.</w:t>
      </w:r>
    </w:p>
    <w:p w:rsidR="00D46094" w:rsidRDefault="009F1C3E" w:rsidP="00E54D02">
      <w:pPr>
        <w:spacing w:line="360" w:lineRule="auto"/>
        <w:jc w:val="both"/>
      </w:pPr>
      <w:r>
        <w:t>(Jung &amp; Lee, 2010)</w:t>
      </w:r>
    </w:p>
    <w:p w:rsidR="009F1C3E" w:rsidRDefault="009F1C3E" w:rsidP="00E54D02">
      <w:pPr>
        <w:spacing w:line="360" w:lineRule="auto"/>
        <w:jc w:val="both"/>
      </w:pPr>
    </w:p>
    <w:p w:rsidR="009F1C3E" w:rsidRDefault="009F1C3E" w:rsidP="009F1C3E">
      <w:pPr>
        <w:spacing w:line="480" w:lineRule="auto"/>
        <w:ind w:hanging="480"/>
      </w:pPr>
      <w:r>
        <w:t xml:space="preserve">Jung, M., &amp; Lee, K. (2010). Sectoral systems of innovation and productivity catch-up: Determinants of the productivity gap between Korean and Japanese firms. </w:t>
      </w:r>
      <w:r>
        <w:rPr>
          <w:i/>
          <w:iCs/>
        </w:rPr>
        <w:t>Industrial and Corporate Change</w:t>
      </w:r>
      <w:r>
        <w:t xml:space="preserve">, </w:t>
      </w:r>
      <w:r>
        <w:rPr>
          <w:i/>
          <w:iCs/>
        </w:rPr>
        <w:t>19</w:t>
      </w:r>
      <w:r>
        <w:t xml:space="preserve">(4), 1037–1069. </w:t>
      </w:r>
      <w:hyperlink r:id="rId57" w:history="1">
        <w:r>
          <w:rPr>
            <w:rStyle w:val="Hypertextovodkaz"/>
          </w:rPr>
          <w:t>https://doi.org/10.1093/icc/dtp054</w:t>
        </w:r>
      </w:hyperlink>
    </w:p>
    <w:p w:rsidR="009F1C3E" w:rsidRDefault="00835886" w:rsidP="00E54D02">
      <w:pPr>
        <w:spacing w:line="360" w:lineRule="auto"/>
        <w:jc w:val="both"/>
        <w:rPr>
          <w:rFonts w:ascii="Tahoma" w:hAnsi="Tahoma" w:cs="Tahoma"/>
          <w:sz w:val="16"/>
          <w:szCs w:val="16"/>
        </w:rPr>
      </w:pPr>
      <w:r>
        <w:rPr>
          <w:rFonts w:ascii="Tahoma" w:hAnsi="Tahoma" w:cs="Tahoma"/>
          <w:sz w:val="16"/>
          <w:szCs w:val="16"/>
        </w:rPr>
        <w:t xml:space="preserve">Conrad, Klaus, &amp; Unger, Ralph. (1989). Productivity gaps and capacity utilization in the manufacturing sectors of five OECD-countries, 1963–1982. </w:t>
      </w:r>
      <w:r>
        <w:rPr>
          <w:rFonts w:ascii="Tahoma" w:hAnsi="Tahoma" w:cs="Tahoma"/>
          <w:i/>
          <w:iCs/>
          <w:sz w:val="16"/>
          <w:szCs w:val="16"/>
        </w:rPr>
        <w:t>Journal of Productivity Analysis, 1</w:t>
      </w:r>
      <w:r>
        <w:rPr>
          <w:rFonts w:ascii="Tahoma" w:hAnsi="Tahoma" w:cs="Tahoma"/>
          <w:sz w:val="16"/>
          <w:szCs w:val="16"/>
        </w:rPr>
        <w:t>(2), 101-122. doi: 10.1007/BF00157791</w:t>
      </w:r>
    </w:p>
    <w:p w:rsidR="00151566" w:rsidRDefault="00151566" w:rsidP="00151566">
      <w:pPr>
        <w:autoSpaceDE w:val="0"/>
        <w:autoSpaceDN w:val="0"/>
        <w:adjustRightInd w:val="0"/>
        <w:ind w:left="720" w:hanging="720"/>
        <w:rPr>
          <w:rFonts w:ascii="Tahoma" w:hAnsi="Tahoma" w:cs="Tahoma"/>
          <w:sz w:val="16"/>
          <w:szCs w:val="16"/>
        </w:rPr>
      </w:pPr>
    </w:p>
    <w:p w:rsidR="00151566" w:rsidRDefault="00151566" w:rsidP="00151566">
      <w:pPr>
        <w:autoSpaceDE w:val="0"/>
        <w:autoSpaceDN w:val="0"/>
        <w:adjustRightInd w:val="0"/>
        <w:ind w:left="720" w:hanging="720"/>
        <w:rPr>
          <w:rFonts w:ascii="Tahoma" w:hAnsi="Tahoma" w:cs="Tahoma"/>
          <w:sz w:val="16"/>
          <w:szCs w:val="16"/>
        </w:rPr>
      </w:pPr>
      <w:r>
        <w:rPr>
          <w:rFonts w:ascii="Tahoma" w:hAnsi="Tahoma" w:cs="Tahoma"/>
          <w:sz w:val="16"/>
          <w:szCs w:val="16"/>
        </w:rPr>
        <w:t xml:space="preserve">Lucke, B. (1998). Productivity shocks in a sectoral real business cycle model for West Germany. </w:t>
      </w:r>
      <w:r>
        <w:rPr>
          <w:rFonts w:ascii="Tahoma" w:hAnsi="Tahoma" w:cs="Tahoma"/>
          <w:i/>
          <w:iCs/>
          <w:sz w:val="16"/>
          <w:szCs w:val="16"/>
        </w:rPr>
        <w:t>European Economic Review, 42</w:t>
      </w:r>
      <w:r>
        <w:rPr>
          <w:rFonts w:ascii="Tahoma" w:hAnsi="Tahoma" w:cs="Tahoma"/>
          <w:sz w:val="16"/>
          <w:szCs w:val="16"/>
        </w:rPr>
        <w:t>(2), 311-327. doi: 10.1016/s0014-2921(97)00067-6</w:t>
      </w:r>
    </w:p>
    <w:p w:rsidR="00151566" w:rsidRDefault="00151566" w:rsidP="00151566"/>
    <w:p w:rsidR="00151566" w:rsidRDefault="00151566" w:rsidP="00E54D02">
      <w:pPr>
        <w:spacing w:line="360" w:lineRule="auto"/>
        <w:jc w:val="both"/>
        <w:rPr>
          <w:rFonts w:ascii="Tahoma" w:hAnsi="Tahoma" w:cs="Tahoma"/>
          <w:sz w:val="16"/>
          <w:szCs w:val="16"/>
        </w:rPr>
      </w:pPr>
    </w:p>
    <w:p w:rsidR="008202ED" w:rsidRPr="00756328" w:rsidRDefault="008202ED" w:rsidP="008202ED">
      <w:pPr>
        <w:autoSpaceDE w:val="0"/>
        <w:autoSpaceDN w:val="0"/>
        <w:adjustRightInd w:val="0"/>
        <w:spacing w:line="480" w:lineRule="auto"/>
        <w:rPr>
          <w:b/>
          <w:lang w:val="en-GB"/>
        </w:rPr>
      </w:pPr>
    </w:p>
    <w:p w:rsidR="008202ED" w:rsidRDefault="008202ED" w:rsidP="008202ED">
      <w:pPr>
        <w:pStyle w:val="Odstavecseseznamem"/>
        <w:spacing w:after="0" w:line="480" w:lineRule="auto"/>
        <w:ind w:left="709" w:hanging="709"/>
        <w:rPr>
          <w:rFonts w:ascii="Times New Roman" w:hAnsi="Times New Roman"/>
          <w:sz w:val="24"/>
          <w:szCs w:val="24"/>
          <w:lang w:val="en-GB"/>
        </w:rPr>
      </w:pPr>
      <w:r w:rsidRPr="00756328">
        <w:rPr>
          <w:rFonts w:ascii="Times New Roman" w:hAnsi="Times New Roman"/>
          <w:sz w:val="24"/>
          <w:szCs w:val="24"/>
          <w:lang w:val="en-GB"/>
        </w:rPr>
        <w:t xml:space="preserve">Adamowiczh, </w:t>
      </w:r>
      <w:r w:rsidRPr="00E864BC">
        <w:rPr>
          <w:rFonts w:ascii="Times New Roman" w:hAnsi="Times New Roman"/>
          <w:sz w:val="24"/>
          <w:szCs w:val="24"/>
          <w:lang w:val="en-GB"/>
        </w:rPr>
        <w:t xml:space="preserve">E.  </w:t>
      </w:r>
      <w:proofErr w:type="gramStart"/>
      <w:r w:rsidRPr="00E864BC">
        <w:rPr>
          <w:rFonts w:ascii="Times New Roman" w:hAnsi="Times New Roman"/>
          <w:sz w:val="24"/>
          <w:szCs w:val="24"/>
          <w:lang w:val="en-GB"/>
        </w:rPr>
        <w:t>and</w:t>
      </w:r>
      <w:proofErr w:type="gramEnd"/>
      <w:r w:rsidRPr="00E864BC">
        <w:rPr>
          <w:rFonts w:ascii="Times New Roman" w:hAnsi="Times New Roman"/>
          <w:sz w:val="24"/>
          <w:szCs w:val="24"/>
          <w:lang w:val="en-GB"/>
        </w:rPr>
        <w:t xml:space="preserve"> Walcyk, K. 2011. Cyclical Fluctuations of Business Activity </w:t>
      </w:r>
      <w:proofErr w:type="gramStart"/>
      <w:r w:rsidRPr="00E864BC">
        <w:rPr>
          <w:rFonts w:ascii="Times New Roman" w:hAnsi="Times New Roman"/>
          <w:sz w:val="24"/>
          <w:szCs w:val="24"/>
          <w:lang w:val="en-GB"/>
        </w:rPr>
        <w:t>In</w:t>
      </w:r>
      <w:proofErr w:type="gramEnd"/>
      <w:r w:rsidRPr="00E864BC">
        <w:rPr>
          <w:rFonts w:ascii="Times New Roman" w:hAnsi="Times New Roman"/>
          <w:sz w:val="24"/>
          <w:szCs w:val="24"/>
          <w:lang w:val="en-GB"/>
        </w:rPr>
        <w:t xml:space="preserve"> The New EU Countries. Transformation in Business &amp; </w:t>
      </w:r>
      <w:proofErr w:type="gramStart"/>
      <w:r w:rsidRPr="00E864BC">
        <w:rPr>
          <w:rFonts w:ascii="Times New Roman" w:hAnsi="Times New Roman"/>
          <w:sz w:val="24"/>
          <w:szCs w:val="24"/>
          <w:lang w:val="en-GB"/>
        </w:rPr>
        <w:t>Economics  10</w:t>
      </w:r>
      <w:proofErr w:type="gramEnd"/>
      <w:r w:rsidRPr="00E864BC">
        <w:rPr>
          <w:rFonts w:ascii="Times New Roman" w:hAnsi="Times New Roman"/>
          <w:sz w:val="24"/>
          <w:szCs w:val="24"/>
          <w:lang w:val="en-GB"/>
        </w:rPr>
        <w:t>(2A):</w:t>
      </w:r>
      <w:r>
        <w:rPr>
          <w:rFonts w:ascii="Times New Roman" w:hAnsi="Times New Roman"/>
          <w:sz w:val="24"/>
          <w:szCs w:val="24"/>
          <w:lang w:val="en-GB"/>
        </w:rPr>
        <w:t xml:space="preserve"> </w:t>
      </w:r>
      <w:r w:rsidRPr="00E864BC">
        <w:rPr>
          <w:rFonts w:ascii="Times New Roman" w:hAnsi="Times New Roman"/>
          <w:sz w:val="24"/>
          <w:szCs w:val="24"/>
          <w:lang w:val="en-GB"/>
        </w:rPr>
        <w:t xml:space="preserve">440-451. </w:t>
      </w:r>
    </w:p>
    <w:p w:rsidR="008202ED" w:rsidRPr="00E864BC" w:rsidRDefault="008202ED" w:rsidP="008202ED">
      <w:pPr>
        <w:pStyle w:val="Odstavecseseznamem"/>
        <w:spacing w:after="0" w:line="480" w:lineRule="auto"/>
        <w:ind w:left="709" w:hanging="709"/>
        <w:rPr>
          <w:rFonts w:ascii="Times New Roman" w:hAnsi="Times New Roman"/>
          <w:sz w:val="24"/>
          <w:szCs w:val="24"/>
          <w:lang w:val="en-GB"/>
        </w:rPr>
      </w:pPr>
      <w:r w:rsidRPr="00A95A9C">
        <w:rPr>
          <w:rFonts w:ascii="Times New Roman" w:hAnsi="Times New Roman"/>
          <w:sz w:val="24"/>
          <w:szCs w:val="24"/>
          <w:lang w:val="en-GB"/>
        </w:rPr>
        <w:t>Aghion, P. and Saint</w:t>
      </w:r>
      <w:r w:rsidRPr="00A95A9C">
        <w:rPr>
          <w:rFonts w:ascii="Cambria Math" w:hAnsi="Cambria Math" w:cs="Cambria Math"/>
          <w:sz w:val="24"/>
          <w:szCs w:val="24"/>
          <w:lang w:val="en-GB"/>
        </w:rPr>
        <w:t>‐</w:t>
      </w:r>
      <w:r>
        <w:rPr>
          <w:rFonts w:ascii="Times New Roman" w:hAnsi="Times New Roman"/>
          <w:sz w:val="24"/>
          <w:szCs w:val="24"/>
          <w:lang w:val="en-GB"/>
        </w:rPr>
        <w:t>Paul, G.</w:t>
      </w:r>
      <w:r w:rsidRPr="00A95A9C">
        <w:rPr>
          <w:rFonts w:ascii="Times New Roman" w:hAnsi="Times New Roman"/>
          <w:sz w:val="24"/>
          <w:szCs w:val="24"/>
          <w:lang w:val="en-GB"/>
        </w:rPr>
        <w:t>1998. Uncovering some causal relationships between productivity growth and the structure of economic fluctuations: a tentative survey. Labour</w:t>
      </w:r>
      <w:r>
        <w:rPr>
          <w:rFonts w:ascii="Times New Roman" w:hAnsi="Times New Roman"/>
          <w:sz w:val="24"/>
          <w:szCs w:val="24"/>
          <w:lang w:val="en-GB"/>
        </w:rPr>
        <w:t xml:space="preserve"> </w:t>
      </w:r>
      <w:r w:rsidRPr="00A95A9C">
        <w:rPr>
          <w:rFonts w:ascii="Times New Roman" w:hAnsi="Times New Roman"/>
          <w:sz w:val="24"/>
          <w:szCs w:val="24"/>
          <w:lang w:val="en-GB"/>
        </w:rPr>
        <w:t>12(2)</w:t>
      </w:r>
      <w:r>
        <w:rPr>
          <w:rFonts w:ascii="Times New Roman" w:hAnsi="Times New Roman"/>
          <w:sz w:val="24"/>
          <w:szCs w:val="24"/>
          <w:lang w:val="en-GB"/>
        </w:rPr>
        <w:t xml:space="preserve">: </w:t>
      </w:r>
      <w:r w:rsidRPr="00A95A9C">
        <w:rPr>
          <w:rFonts w:ascii="Times New Roman" w:hAnsi="Times New Roman"/>
          <w:sz w:val="24"/>
          <w:szCs w:val="24"/>
          <w:lang w:val="en-GB"/>
        </w:rPr>
        <w:t>279-303.</w:t>
      </w:r>
    </w:p>
    <w:p w:rsidR="008202ED" w:rsidRPr="00E864BC" w:rsidRDefault="008202ED" w:rsidP="008202ED">
      <w:pPr>
        <w:pStyle w:val="Odstavecseseznamem"/>
        <w:spacing w:after="0" w:line="480" w:lineRule="auto"/>
        <w:ind w:left="0"/>
        <w:rPr>
          <w:rFonts w:ascii="Times New Roman" w:hAnsi="Times New Roman"/>
          <w:sz w:val="24"/>
          <w:szCs w:val="24"/>
          <w:lang w:val="en-GB"/>
        </w:rPr>
      </w:pPr>
      <w:r w:rsidRPr="00E864BC">
        <w:rPr>
          <w:rFonts w:ascii="Times New Roman" w:hAnsi="Times New Roman"/>
          <w:sz w:val="24"/>
          <w:szCs w:val="24"/>
          <w:lang w:val="en-GB"/>
        </w:rPr>
        <w:t>Barro</w:t>
      </w:r>
      <w:proofErr w:type="gramStart"/>
      <w:r w:rsidRPr="00E864BC">
        <w:rPr>
          <w:rFonts w:ascii="Times New Roman" w:hAnsi="Times New Roman"/>
          <w:sz w:val="24"/>
          <w:szCs w:val="24"/>
          <w:lang w:val="en-GB"/>
        </w:rPr>
        <w:t>,  J</w:t>
      </w:r>
      <w:proofErr w:type="gramEnd"/>
      <w:r w:rsidRPr="00E864BC">
        <w:rPr>
          <w:rFonts w:ascii="Times New Roman" w:hAnsi="Times New Roman"/>
          <w:sz w:val="24"/>
          <w:szCs w:val="24"/>
          <w:lang w:val="en-GB"/>
        </w:rPr>
        <w:t>. R. and Sala-i-Martin, X</w:t>
      </w:r>
      <w:r w:rsidRPr="00E864BC">
        <w:rPr>
          <w:rFonts w:ascii="Times New Roman" w:hAnsi="Times New Roman"/>
          <w:caps/>
          <w:sz w:val="24"/>
          <w:szCs w:val="24"/>
          <w:lang w:val="en-GB"/>
        </w:rPr>
        <w:t>. 2004.</w:t>
      </w:r>
      <w:r w:rsidRPr="00E864BC">
        <w:rPr>
          <w:rFonts w:ascii="Times New Roman" w:hAnsi="Times New Roman"/>
          <w:sz w:val="24"/>
          <w:szCs w:val="24"/>
          <w:lang w:val="en-GB"/>
        </w:rPr>
        <w:t xml:space="preserve"> Economic growth. London: THe MIT Press. </w:t>
      </w:r>
    </w:p>
    <w:p w:rsidR="008202ED" w:rsidRPr="00E864BC" w:rsidRDefault="008202ED" w:rsidP="008202ED">
      <w:pPr>
        <w:pStyle w:val="Odstavecseseznamem"/>
        <w:autoSpaceDE w:val="0"/>
        <w:autoSpaceDN w:val="0"/>
        <w:adjustRightInd w:val="0"/>
        <w:spacing w:after="0" w:line="480" w:lineRule="auto"/>
        <w:ind w:left="709" w:hanging="709"/>
        <w:rPr>
          <w:rFonts w:ascii="Times New Roman" w:eastAsia="Calibri" w:hAnsi="Times New Roman"/>
          <w:sz w:val="24"/>
          <w:szCs w:val="24"/>
          <w:lang w:val="en-GB"/>
        </w:rPr>
      </w:pPr>
      <w:r w:rsidRPr="00E864BC">
        <w:rPr>
          <w:rFonts w:ascii="Times New Roman" w:hAnsi="Times New Roman"/>
          <w:sz w:val="24"/>
          <w:szCs w:val="24"/>
          <w:lang w:val="en-GB"/>
        </w:rPr>
        <w:t>Barro R. J. 1991. Economic growth in a cross section of countries. The Quarterly Journal of Economics 106</w:t>
      </w:r>
      <w:r>
        <w:rPr>
          <w:rFonts w:ascii="Times New Roman" w:hAnsi="Times New Roman"/>
          <w:sz w:val="24"/>
          <w:szCs w:val="24"/>
          <w:lang w:val="en-GB"/>
        </w:rPr>
        <w:t>(</w:t>
      </w:r>
      <w:r w:rsidRPr="00E864BC">
        <w:rPr>
          <w:rFonts w:ascii="Times New Roman" w:hAnsi="Times New Roman"/>
          <w:sz w:val="24"/>
          <w:szCs w:val="24"/>
          <w:lang w:val="en-GB"/>
        </w:rPr>
        <w:t>2</w:t>
      </w:r>
      <w:r>
        <w:rPr>
          <w:rFonts w:ascii="Times New Roman" w:hAnsi="Times New Roman"/>
          <w:sz w:val="24"/>
          <w:szCs w:val="24"/>
          <w:lang w:val="en-GB"/>
        </w:rPr>
        <w:t xml:space="preserve">): </w:t>
      </w:r>
      <w:r w:rsidRPr="00E864BC">
        <w:rPr>
          <w:rFonts w:ascii="Times New Roman" w:hAnsi="Times New Roman"/>
          <w:sz w:val="24"/>
          <w:szCs w:val="24"/>
          <w:lang w:val="en-GB"/>
        </w:rPr>
        <w:t>407-443.</w:t>
      </w:r>
    </w:p>
    <w:p w:rsidR="008202ED" w:rsidRDefault="008202ED" w:rsidP="008202ED">
      <w:pPr>
        <w:pStyle w:val="Odstavecseseznamem"/>
        <w:autoSpaceDE w:val="0"/>
        <w:autoSpaceDN w:val="0"/>
        <w:adjustRightInd w:val="0"/>
        <w:spacing w:after="0" w:line="480" w:lineRule="auto"/>
        <w:ind w:left="709" w:hanging="709"/>
        <w:rPr>
          <w:rFonts w:ascii="Times New Roman" w:eastAsia="Calibri" w:hAnsi="Times New Roman"/>
          <w:sz w:val="24"/>
          <w:szCs w:val="24"/>
          <w:lang w:val="en-GB"/>
        </w:rPr>
      </w:pPr>
      <w:r w:rsidRPr="00E864BC">
        <w:rPr>
          <w:rFonts w:ascii="Times New Roman" w:eastAsia="Calibri" w:hAnsi="Times New Roman"/>
          <w:sz w:val="24"/>
          <w:szCs w:val="24"/>
          <w:lang w:val="en-GB"/>
        </w:rPr>
        <w:t>Baumol, W. J. 1986</w:t>
      </w:r>
      <w:r>
        <w:rPr>
          <w:rFonts w:ascii="Times New Roman" w:eastAsia="Calibri" w:hAnsi="Times New Roman"/>
          <w:sz w:val="24"/>
          <w:szCs w:val="24"/>
          <w:lang w:val="en-GB"/>
        </w:rPr>
        <w:t>.</w:t>
      </w:r>
      <w:r w:rsidRPr="00E864BC">
        <w:rPr>
          <w:rFonts w:ascii="Times New Roman" w:eastAsia="Calibri" w:hAnsi="Times New Roman"/>
          <w:sz w:val="24"/>
          <w:szCs w:val="24"/>
          <w:lang w:val="en-GB"/>
        </w:rPr>
        <w:t>Productivity Growth, Convergence, and Welfare: What the Long-Run Data Show</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w:t>
      </w:r>
      <w:r>
        <w:rPr>
          <w:rFonts w:ascii="Times New Roman" w:eastAsia="Calibri" w:hAnsi="Times New Roman"/>
          <w:iCs/>
          <w:sz w:val="24"/>
          <w:szCs w:val="24"/>
          <w:lang w:val="en-GB"/>
        </w:rPr>
        <w:t xml:space="preserve">The American Economic Review </w:t>
      </w:r>
      <w:r w:rsidRPr="00E864BC">
        <w:rPr>
          <w:rFonts w:ascii="Times New Roman" w:eastAsia="Calibri" w:hAnsi="Times New Roman"/>
          <w:sz w:val="24"/>
          <w:szCs w:val="24"/>
          <w:lang w:val="en-GB"/>
        </w:rPr>
        <w:t>76</w:t>
      </w:r>
      <w:r>
        <w:rPr>
          <w:rFonts w:ascii="Times New Roman" w:eastAsia="Calibri" w:hAnsi="Times New Roman"/>
          <w:sz w:val="24"/>
          <w:szCs w:val="24"/>
          <w:lang w:val="en-GB"/>
        </w:rPr>
        <w:t>(</w:t>
      </w:r>
      <w:r w:rsidRPr="00E864BC">
        <w:rPr>
          <w:rFonts w:ascii="Times New Roman" w:eastAsia="Calibri" w:hAnsi="Times New Roman"/>
          <w:sz w:val="24"/>
          <w:szCs w:val="24"/>
          <w:lang w:val="en-GB"/>
        </w:rPr>
        <w:t>5</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1072-1085.</w:t>
      </w:r>
    </w:p>
    <w:p w:rsidR="008202ED" w:rsidRPr="00E864BC" w:rsidRDefault="008202ED" w:rsidP="008202ED">
      <w:pPr>
        <w:spacing w:line="480" w:lineRule="auto"/>
        <w:ind w:left="480" w:hanging="480"/>
        <w:rPr>
          <w:rFonts w:eastAsia="Calibri"/>
          <w:lang w:val="en-GB" w:eastAsia="en-US"/>
        </w:rPr>
      </w:pPr>
      <w:r w:rsidRPr="00E864BC">
        <w:t>Bha</w:t>
      </w:r>
      <w:r>
        <w:t xml:space="preserve">ttacharjee, A., de Castro, E. </w:t>
      </w:r>
      <w:proofErr w:type="gramStart"/>
      <w:r>
        <w:t>and</w:t>
      </w:r>
      <w:proofErr w:type="gramEnd"/>
      <w:r w:rsidRPr="00E864BC">
        <w:t xml:space="preserve"> Jensen-Butler, C. 2009. Regional variation in productivity: a study of the Danish economy. </w:t>
      </w:r>
      <w:r w:rsidRPr="00E864BC">
        <w:rPr>
          <w:iCs/>
        </w:rPr>
        <w:t>Journal of productivity analysis</w:t>
      </w:r>
      <w:r w:rsidRPr="00E864BC">
        <w:t xml:space="preserve">, </w:t>
      </w:r>
      <w:r w:rsidRPr="00E864BC">
        <w:rPr>
          <w:iCs/>
        </w:rPr>
        <w:t>31</w:t>
      </w:r>
      <w:r>
        <w:t>(3):</w:t>
      </w:r>
      <w:r w:rsidRPr="00E864BC">
        <w:t xml:space="preserve"> 195–212. </w:t>
      </w:r>
    </w:p>
    <w:p w:rsidR="008202ED" w:rsidRPr="00E864BC" w:rsidRDefault="008202ED" w:rsidP="008202ED">
      <w:pPr>
        <w:pStyle w:val="Odstavecseseznamem"/>
        <w:autoSpaceDE w:val="0"/>
        <w:autoSpaceDN w:val="0"/>
        <w:adjustRightInd w:val="0"/>
        <w:spacing w:after="0" w:line="480" w:lineRule="auto"/>
        <w:ind w:left="709" w:hanging="709"/>
        <w:rPr>
          <w:rFonts w:ascii="Times New Roman" w:eastAsia="Calibri" w:hAnsi="Times New Roman"/>
          <w:sz w:val="24"/>
          <w:szCs w:val="24"/>
          <w:lang w:val="en-GB"/>
        </w:rPr>
      </w:pPr>
      <w:r w:rsidRPr="00E864BC">
        <w:rPr>
          <w:rFonts w:ascii="Times New Roman" w:eastAsia="Calibri" w:hAnsi="Times New Roman"/>
          <w:sz w:val="24"/>
          <w:szCs w:val="24"/>
          <w:lang w:val="en-GB"/>
        </w:rPr>
        <w:lastRenderedPageBreak/>
        <w:t>Ciegis, R.,</w:t>
      </w:r>
      <w:r>
        <w:rPr>
          <w:rFonts w:ascii="Times New Roman" w:eastAsia="Calibri" w:hAnsi="Times New Roman"/>
          <w:sz w:val="24"/>
          <w:szCs w:val="24"/>
          <w:lang w:val="en-GB"/>
        </w:rPr>
        <w:t xml:space="preserve"> Jurgaityte, R., Rakickas, A. and Kareivaite, R. 2008. </w:t>
      </w:r>
      <w:r w:rsidRPr="00E864BC">
        <w:rPr>
          <w:rFonts w:ascii="Times New Roman" w:eastAsia="Calibri" w:hAnsi="Times New Roman"/>
          <w:sz w:val="24"/>
          <w:szCs w:val="24"/>
          <w:lang w:val="en-GB"/>
        </w:rPr>
        <w:t>The Analysis of Socio-Economic Progress and Future Perspe</w:t>
      </w:r>
      <w:r>
        <w:rPr>
          <w:rFonts w:ascii="Times New Roman" w:eastAsia="Calibri" w:hAnsi="Times New Roman"/>
          <w:sz w:val="24"/>
          <w:szCs w:val="24"/>
          <w:lang w:val="en-GB"/>
        </w:rPr>
        <w:t>ctives in the New Eu Members.</w:t>
      </w:r>
      <w:r w:rsidRPr="00E864BC">
        <w:rPr>
          <w:rFonts w:ascii="Times New Roman" w:eastAsia="Calibri" w:hAnsi="Times New Roman"/>
          <w:sz w:val="24"/>
          <w:szCs w:val="24"/>
          <w:lang w:val="en-GB"/>
        </w:rPr>
        <w:t>Transformations in Business &amp; Economics</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7</w:t>
      </w:r>
      <w:r>
        <w:rPr>
          <w:rFonts w:ascii="Times New Roman" w:eastAsia="Calibri" w:hAnsi="Times New Roman"/>
          <w:sz w:val="24"/>
          <w:szCs w:val="24"/>
          <w:lang w:val="en-GB"/>
        </w:rPr>
        <w:t>(</w:t>
      </w:r>
      <w:r w:rsidRPr="00E864BC">
        <w:rPr>
          <w:rFonts w:ascii="Times New Roman" w:eastAsia="Calibri" w:hAnsi="Times New Roman"/>
          <w:sz w:val="24"/>
          <w:szCs w:val="24"/>
          <w:lang w:val="en-GB"/>
        </w:rPr>
        <w:t>2</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34-54.</w:t>
      </w:r>
    </w:p>
    <w:p w:rsidR="008202ED" w:rsidRPr="00E864BC" w:rsidRDefault="008202ED" w:rsidP="008202ED">
      <w:pPr>
        <w:pStyle w:val="Odstavecseseznamem"/>
        <w:autoSpaceDE w:val="0"/>
        <w:autoSpaceDN w:val="0"/>
        <w:adjustRightInd w:val="0"/>
        <w:spacing w:after="0" w:line="480" w:lineRule="auto"/>
        <w:ind w:left="709" w:hanging="709"/>
        <w:rPr>
          <w:rFonts w:ascii="Times New Roman" w:eastAsia="Calibri" w:hAnsi="Times New Roman"/>
          <w:sz w:val="24"/>
          <w:szCs w:val="24"/>
          <w:lang w:val="en-GB"/>
        </w:rPr>
      </w:pPr>
      <w:r>
        <w:rPr>
          <w:rFonts w:ascii="Times New Roman" w:eastAsia="Calibri" w:hAnsi="Times New Roman"/>
          <w:sz w:val="24"/>
          <w:szCs w:val="24"/>
          <w:lang w:val="en-GB"/>
        </w:rPr>
        <w:t xml:space="preserve">Crespi, F. and </w:t>
      </w:r>
      <w:r w:rsidRPr="00E864BC">
        <w:rPr>
          <w:rFonts w:ascii="Times New Roman" w:eastAsia="Calibri" w:hAnsi="Times New Roman"/>
          <w:sz w:val="24"/>
          <w:szCs w:val="24"/>
          <w:lang w:val="en-GB"/>
        </w:rPr>
        <w:t>Pianta, M.</w:t>
      </w:r>
      <w:r>
        <w:rPr>
          <w:rFonts w:ascii="Times New Roman" w:eastAsia="Calibri" w:hAnsi="Times New Roman"/>
          <w:sz w:val="24"/>
          <w:szCs w:val="24"/>
          <w:lang w:val="en-GB"/>
        </w:rPr>
        <w:t xml:space="preserve"> 2008. </w:t>
      </w:r>
      <w:r w:rsidRPr="00E864BC">
        <w:rPr>
          <w:rFonts w:ascii="Times New Roman" w:eastAsia="Calibri" w:hAnsi="Times New Roman"/>
          <w:sz w:val="24"/>
          <w:szCs w:val="24"/>
          <w:lang w:val="en-GB"/>
        </w:rPr>
        <w:t>Diversity in innovation and productivity in Europe</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w:t>
      </w:r>
      <w:r w:rsidRPr="00E864BC">
        <w:rPr>
          <w:rFonts w:ascii="Times New Roman" w:eastAsia="Calibri" w:hAnsi="Times New Roman"/>
          <w:iCs/>
          <w:sz w:val="24"/>
          <w:szCs w:val="24"/>
          <w:lang w:val="en-GB"/>
        </w:rPr>
        <w:t>Journal of Evolutionary Economics</w:t>
      </w:r>
      <w:r w:rsidRPr="00E864BC">
        <w:rPr>
          <w:rFonts w:ascii="Times New Roman" w:eastAsia="Calibri" w:hAnsi="Times New Roman"/>
          <w:sz w:val="24"/>
          <w:szCs w:val="24"/>
          <w:lang w:val="en-GB"/>
        </w:rPr>
        <w:t xml:space="preserve"> 18</w:t>
      </w:r>
      <w:r>
        <w:rPr>
          <w:rFonts w:ascii="Times New Roman" w:eastAsia="Calibri" w:hAnsi="Times New Roman"/>
          <w:sz w:val="24"/>
          <w:szCs w:val="24"/>
          <w:lang w:val="en-GB"/>
        </w:rPr>
        <w:t>(</w:t>
      </w:r>
      <w:r w:rsidRPr="00E864BC">
        <w:rPr>
          <w:rFonts w:ascii="Times New Roman" w:eastAsia="Calibri" w:hAnsi="Times New Roman"/>
          <w:sz w:val="24"/>
          <w:szCs w:val="24"/>
          <w:lang w:val="en-GB"/>
        </w:rPr>
        <w:t>3</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 xml:space="preserve">529-545. </w:t>
      </w:r>
    </w:p>
    <w:p w:rsidR="008202ED" w:rsidRPr="00E864BC" w:rsidRDefault="008202ED" w:rsidP="008202ED">
      <w:pPr>
        <w:pStyle w:val="Odstavecseseznamem"/>
        <w:autoSpaceDE w:val="0"/>
        <w:autoSpaceDN w:val="0"/>
        <w:adjustRightInd w:val="0"/>
        <w:spacing w:after="0" w:line="480" w:lineRule="auto"/>
        <w:ind w:left="709" w:hanging="709"/>
        <w:jc w:val="both"/>
        <w:rPr>
          <w:rFonts w:ascii="Times New Roman" w:hAnsi="Times New Roman"/>
          <w:color w:val="000000"/>
          <w:sz w:val="24"/>
          <w:szCs w:val="24"/>
          <w:lang w:val="en-GB"/>
        </w:rPr>
      </w:pPr>
      <w:r w:rsidRPr="00E864BC">
        <w:rPr>
          <w:rFonts w:ascii="Times New Roman" w:hAnsi="Times New Roman"/>
          <w:sz w:val="24"/>
          <w:szCs w:val="24"/>
          <w:lang w:val="en-GB"/>
        </w:rPr>
        <w:t>Chen</w:t>
      </w:r>
      <w:r>
        <w:rPr>
          <w:rFonts w:ascii="Times New Roman" w:hAnsi="Times New Roman"/>
          <w:color w:val="000000"/>
          <w:sz w:val="24"/>
          <w:szCs w:val="24"/>
          <w:lang w:val="en-GB"/>
        </w:rPr>
        <w:t>, W. and</w:t>
      </w:r>
      <w:r w:rsidRPr="00E864BC">
        <w:rPr>
          <w:rFonts w:ascii="Times New Roman" w:hAnsi="Times New Roman"/>
          <w:color w:val="000000"/>
          <w:sz w:val="24"/>
          <w:szCs w:val="24"/>
          <w:lang w:val="en-GB"/>
        </w:rPr>
        <w:t xml:space="preserve"> Inklaar, R. </w:t>
      </w:r>
      <w:r>
        <w:rPr>
          <w:rFonts w:ascii="Times New Roman" w:hAnsi="Times New Roman"/>
          <w:color w:val="000000"/>
          <w:sz w:val="24"/>
          <w:szCs w:val="24"/>
          <w:lang w:val="en-GB"/>
        </w:rPr>
        <w:t xml:space="preserve">2016. </w:t>
      </w:r>
      <w:r w:rsidRPr="00E864BC">
        <w:rPr>
          <w:rFonts w:ascii="Times New Roman" w:hAnsi="Times New Roman"/>
          <w:color w:val="000000"/>
          <w:sz w:val="24"/>
          <w:szCs w:val="24"/>
          <w:lang w:val="en-GB"/>
        </w:rPr>
        <w:t>Productivity spillovers of organization capital</w:t>
      </w:r>
      <w:r>
        <w:rPr>
          <w:rFonts w:ascii="Times New Roman" w:hAnsi="Times New Roman"/>
          <w:color w:val="000000"/>
          <w:sz w:val="24"/>
          <w:szCs w:val="24"/>
          <w:lang w:val="en-GB"/>
        </w:rPr>
        <w:t>.</w:t>
      </w:r>
      <w:r w:rsidRPr="00E864BC">
        <w:rPr>
          <w:rFonts w:ascii="Times New Roman" w:hAnsi="Times New Roman"/>
          <w:color w:val="000000"/>
          <w:sz w:val="24"/>
          <w:szCs w:val="24"/>
          <w:lang w:val="en-GB"/>
        </w:rPr>
        <w:t xml:space="preserve"> Journal of Productivity </w:t>
      </w:r>
      <w:proofErr w:type="gramStart"/>
      <w:r w:rsidRPr="00E864BC">
        <w:rPr>
          <w:rFonts w:ascii="Times New Roman" w:hAnsi="Times New Roman"/>
          <w:color w:val="000000"/>
          <w:sz w:val="24"/>
          <w:szCs w:val="24"/>
          <w:lang w:val="en-GB"/>
        </w:rPr>
        <w:t>Analysis</w:t>
      </w:r>
      <w:r>
        <w:rPr>
          <w:rFonts w:ascii="Times New Roman" w:hAnsi="Times New Roman"/>
          <w:color w:val="000000"/>
          <w:sz w:val="24"/>
          <w:szCs w:val="24"/>
          <w:lang w:val="en-GB"/>
        </w:rPr>
        <w:t xml:space="preserve"> </w:t>
      </w:r>
      <w:r w:rsidRPr="00E864BC">
        <w:rPr>
          <w:rFonts w:ascii="Times New Roman" w:hAnsi="Times New Roman"/>
          <w:color w:val="000000"/>
          <w:sz w:val="24"/>
          <w:szCs w:val="24"/>
          <w:lang w:val="en-GB"/>
        </w:rPr>
        <w:t xml:space="preserve"> 45</w:t>
      </w:r>
      <w:proofErr w:type="gramEnd"/>
      <w:r>
        <w:rPr>
          <w:rFonts w:ascii="Times New Roman" w:hAnsi="Times New Roman"/>
          <w:color w:val="000000"/>
          <w:sz w:val="24"/>
          <w:szCs w:val="24"/>
          <w:lang w:val="en-GB"/>
        </w:rPr>
        <w:t>(</w:t>
      </w:r>
      <w:r w:rsidRPr="00E864BC">
        <w:rPr>
          <w:rFonts w:ascii="Times New Roman" w:hAnsi="Times New Roman"/>
          <w:color w:val="000000"/>
          <w:sz w:val="24"/>
          <w:szCs w:val="24"/>
          <w:lang w:val="en-GB"/>
        </w:rPr>
        <w:t>3</w:t>
      </w:r>
      <w:r>
        <w:rPr>
          <w:rFonts w:ascii="Times New Roman" w:hAnsi="Times New Roman"/>
          <w:color w:val="000000"/>
          <w:sz w:val="24"/>
          <w:szCs w:val="24"/>
          <w:lang w:val="en-GB"/>
        </w:rPr>
        <w:t>):</w:t>
      </w:r>
      <w:r w:rsidRPr="00E864BC">
        <w:rPr>
          <w:rFonts w:ascii="Times New Roman" w:hAnsi="Times New Roman"/>
          <w:color w:val="000000"/>
          <w:sz w:val="24"/>
          <w:szCs w:val="24"/>
          <w:lang w:val="en-GB"/>
        </w:rPr>
        <w:t xml:space="preserve"> 229-245. </w:t>
      </w:r>
    </w:p>
    <w:p w:rsidR="008202ED" w:rsidRPr="00E864BC" w:rsidRDefault="008202ED" w:rsidP="008202ED">
      <w:pPr>
        <w:spacing w:line="480" w:lineRule="auto"/>
        <w:rPr>
          <w:rFonts w:eastAsia="Calibri"/>
          <w:lang w:val="en-GB" w:eastAsia="en-GB"/>
        </w:rPr>
      </w:pPr>
      <w:r>
        <w:rPr>
          <w:rFonts w:eastAsia="Calibri"/>
          <w:lang w:val="en-GB" w:eastAsia="en-GB"/>
        </w:rPr>
        <w:t xml:space="preserve">Coelli, T.  </w:t>
      </w:r>
      <w:r w:rsidRPr="00E864BC">
        <w:rPr>
          <w:rFonts w:eastAsia="Calibri"/>
          <w:lang w:val="en-GB" w:eastAsia="en-GB"/>
        </w:rPr>
        <w:t xml:space="preserve">2005. </w:t>
      </w:r>
      <w:r w:rsidRPr="00E864BC">
        <w:rPr>
          <w:rFonts w:eastAsia="Calibri"/>
          <w:iCs/>
          <w:lang w:val="en-GB" w:eastAsia="en-GB"/>
        </w:rPr>
        <w:t>An Introduction to Efficiency and Productivity Analysis</w:t>
      </w:r>
      <w:r>
        <w:rPr>
          <w:rFonts w:eastAsia="Calibri"/>
          <w:iCs/>
          <w:lang w:val="en-GB" w:eastAsia="en-GB"/>
        </w:rPr>
        <w:t xml:space="preserve">. </w:t>
      </w:r>
      <w:r w:rsidRPr="00E864BC">
        <w:rPr>
          <w:rFonts w:eastAsia="Calibri"/>
          <w:lang w:val="en-GB" w:eastAsia="en-GB"/>
        </w:rPr>
        <w:t>New York</w:t>
      </w:r>
      <w:r>
        <w:rPr>
          <w:rFonts w:eastAsia="Calibri"/>
          <w:lang w:val="en-GB" w:eastAsia="en-GB"/>
        </w:rPr>
        <w:t>:</w:t>
      </w:r>
      <w:r w:rsidRPr="00E864BC">
        <w:rPr>
          <w:rFonts w:eastAsia="Calibri"/>
          <w:lang w:val="en-GB" w:eastAsia="en-GB"/>
        </w:rPr>
        <w:t xml:space="preserve"> Springer.</w:t>
      </w:r>
    </w:p>
    <w:p w:rsidR="008202ED" w:rsidRPr="00E864BC" w:rsidRDefault="008202ED" w:rsidP="008202ED">
      <w:pPr>
        <w:pStyle w:val="Odstavecseseznamem"/>
        <w:autoSpaceDE w:val="0"/>
        <w:autoSpaceDN w:val="0"/>
        <w:adjustRightInd w:val="0"/>
        <w:spacing w:after="0" w:line="480" w:lineRule="auto"/>
        <w:ind w:left="709" w:hanging="709"/>
        <w:rPr>
          <w:rFonts w:ascii="Times New Roman" w:eastAsia="Calibri" w:hAnsi="Times New Roman"/>
          <w:sz w:val="24"/>
          <w:szCs w:val="24"/>
          <w:lang w:val="en-GB"/>
        </w:rPr>
      </w:pPr>
      <w:r w:rsidRPr="00E864BC">
        <w:rPr>
          <w:rFonts w:ascii="Times New Roman" w:eastAsia="Calibri" w:hAnsi="Times New Roman"/>
          <w:sz w:val="24"/>
          <w:szCs w:val="24"/>
          <w:lang w:val="en-GB"/>
        </w:rPr>
        <w:t>Evans, C. L. 1992</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Productivity shocks and real business cycles</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w:t>
      </w:r>
      <w:r>
        <w:rPr>
          <w:rFonts w:ascii="Times New Roman" w:eastAsia="Calibri" w:hAnsi="Times New Roman"/>
          <w:iCs/>
          <w:sz w:val="24"/>
          <w:szCs w:val="24"/>
          <w:lang w:val="en-GB"/>
        </w:rPr>
        <w:t>Journal of Monetary Economics</w:t>
      </w:r>
      <w:r w:rsidRPr="00E864BC">
        <w:rPr>
          <w:rFonts w:ascii="Times New Roman" w:eastAsia="Calibri" w:hAnsi="Times New Roman"/>
          <w:iCs/>
          <w:sz w:val="24"/>
          <w:szCs w:val="24"/>
          <w:lang w:val="en-GB"/>
        </w:rPr>
        <w:t xml:space="preserve"> </w:t>
      </w:r>
      <w:r>
        <w:rPr>
          <w:rFonts w:ascii="Times New Roman" w:eastAsia="Calibri" w:hAnsi="Times New Roman"/>
          <w:sz w:val="24"/>
          <w:szCs w:val="24"/>
          <w:lang w:val="en-GB"/>
        </w:rPr>
        <w:t>29(</w:t>
      </w:r>
      <w:r w:rsidRPr="00E864BC">
        <w:rPr>
          <w:rFonts w:ascii="Times New Roman" w:eastAsia="Calibri" w:hAnsi="Times New Roman"/>
          <w:sz w:val="24"/>
          <w:szCs w:val="24"/>
          <w:lang w:val="en-GB"/>
        </w:rPr>
        <w:t>2</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191-208.</w:t>
      </w:r>
    </w:p>
    <w:p w:rsidR="008202ED" w:rsidRPr="00E864BC" w:rsidRDefault="008202ED" w:rsidP="008202ED">
      <w:pPr>
        <w:spacing w:line="480" w:lineRule="auto"/>
        <w:ind w:left="709" w:hanging="709"/>
        <w:rPr>
          <w:lang w:val="en-GB"/>
        </w:rPr>
      </w:pPr>
      <w:r w:rsidRPr="00E864BC">
        <w:rPr>
          <w:lang w:val="en-GB"/>
        </w:rPr>
        <w:t>Färe, R., Grosskopf, S., Norris, M. and Zhang, Z. 1994</w:t>
      </w:r>
      <w:r>
        <w:rPr>
          <w:lang w:val="en-GB"/>
        </w:rPr>
        <w:t>.</w:t>
      </w:r>
      <w:r w:rsidRPr="00E864BC">
        <w:rPr>
          <w:lang w:val="en-GB"/>
        </w:rPr>
        <w:t xml:space="preserve"> Productivity growth, technical progress, and efficiency change in industrialized countries</w:t>
      </w:r>
      <w:r>
        <w:rPr>
          <w:lang w:val="en-GB"/>
        </w:rPr>
        <w:t>.</w:t>
      </w:r>
      <w:r w:rsidRPr="00E864BC">
        <w:rPr>
          <w:lang w:val="en-GB"/>
        </w:rPr>
        <w:t xml:space="preserve"> American Economic Review 84</w:t>
      </w:r>
      <w:r>
        <w:rPr>
          <w:lang w:val="en-GB"/>
        </w:rPr>
        <w:t xml:space="preserve">(1): </w:t>
      </w:r>
      <w:r w:rsidRPr="00E864BC">
        <w:rPr>
          <w:lang w:val="en-GB"/>
        </w:rPr>
        <w:t>66-83.</w:t>
      </w:r>
    </w:p>
    <w:p w:rsidR="008202ED" w:rsidRPr="00E864BC" w:rsidRDefault="008202ED" w:rsidP="008202ED">
      <w:pPr>
        <w:pStyle w:val="Odstavecseseznamem"/>
        <w:autoSpaceDE w:val="0"/>
        <w:autoSpaceDN w:val="0"/>
        <w:adjustRightInd w:val="0"/>
        <w:spacing w:after="0" w:line="480" w:lineRule="auto"/>
        <w:ind w:left="709" w:hanging="709"/>
        <w:rPr>
          <w:rFonts w:ascii="Times New Roman" w:eastAsia="Calibri" w:hAnsi="Times New Roman"/>
          <w:sz w:val="24"/>
          <w:szCs w:val="24"/>
          <w:lang w:val="en-GB"/>
        </w:rPr>
      </w:pPr>
      <w:r w:rsidRPr="00E864BC">
        <w:rPr>
          <w:rFonts w:ascii="Times New Roman" w:eastAsia="Calibri" w:hAnsi="Times New Roman"/>
          <w:sz w:val="24"/>
          <w:szCs w:val="24"/>
          <w:lang w:val="en-GB"/>
        </w:rPr>
        <w:t>Jones, C. I.</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1995</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R &amp; D-Based Models of Economic Growth</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w:t>
      </w:r>
      <w:r w:rsidRPr="00E864BC">
        <w:rPr>
          <w:rFonts w:ascii="Times New Roman" w:eastAsia="Calibri" w:hAnsi="Times New Roman"/>
          <w:iCs/>
          <w:sz w:val="24"/>
          <w:szCs w:val="24"/>
          <w:lang w:val="en-GB"/>
        </w:rPr>
        <w:t>Journal of Political Economy</w:t>
      </w:r>
      <w:r w:rsidRPr="00E864BC">
        <w:rPr>
          <w:rFonts w:ascii="Times New Roman" w:eastAsia="Calibri" w:hAnsi="Times New Roman"/>
          <w:sz w:val="24"/>
          <w:szCs w:val="24"/>
          <w:lang w:val="en-GB"/>
        </w:rPr>
        <w:t xml:space="preserve"> 103</w:t>
      </w:r>
      <w:r>
        <w:rPr>
          <w:rFonts w:ascii="Times New Roman" w:eastAsia="Calibri" w:hAnsi="Times New Roman"/>
          <w:sz w:val="24"/>
          <w:szCs w:val="24"/>
          <w:lang w:val="en-GB"/>
        </w:rPr>
        <w:t>(</w:t>
      </w:r>
      <w:r w:rsidRPr="00E864BC">
        <w:rPr>
          <w:rFonts w:ascii="Times New Roman" w:eastAsia="Calibri" w:hAnsi="Times New Roman"/>
          <w:sz w:val="24"/>
          <w:szCs w:val="24"/>
          <w:lang w:val="en-GB"/>
        </w:rPr>
        <w:t>4</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 xml:space="preserve">759-784. </w:t>
      </w:r>
    </w:p>
    <w:p w:rsidR="008202ED" w:rsidRPr="00E864BC" w:rsidRDefault="008202ED" w:rsidP="008202ED">
      <w:pPr>
        <w:pStyle w:val="Odstavecseseznamem"/>
        <w:autoSpaceDE w:val="0"/>
        <w:autoSpaceDN w:val="0"/>
        <w:adjustRightInd w:val="0"/>
        <w:spacing w:after="0" w:line="480" w:lineRule="auto"/>
        <w:ind w:left="0"/>
        <w:rPr>
          <w:rFonts w:ascii="Times New Roman" w:eastAsia="Calibri" w:hAnsi="Times New Roman"/>
          <w:sz w:val="24"/>
          <w:szCs w:val="24"/>
          <w:lang w:val="en-GB"/>
        </w:rPr>
      </w:pPr>
      <w:r>
        <w:rPr>
          <w:rFonts w:ascii="Times New Roman" w:eastAsia="Calibri" w:hAnsi="Times New Roman"/>
          <w:sz w:val="24"/>
          <w:szCs w:val="24"/>
          <w:lang w:val="en-GB"/>
        </w:rPr>
        <w:t>Jílek</w:t>
      </w:r>
      <w:proofErr w:type="gramStart"/>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 xml:space="preserve"> J</w:t>
      </w:r>
      <w:proofErr w:type="gramEnd"/>
      <w:r w:rsidRPr="00E864BC">
        <w:rPr>
          <w:rFonts w:ascii="Times New Roman" w:eastAsia="Calibri" w:hAnsi="Times New Roman"/>
          <w:sz w:val="24"/>
          <w:szCs w:val="24"/>
          <w:lang w:val="en-GB"/>
        </w:rPr>
        <w:t xml:space="preserve">. </w:t>
      </w:r>
      <w:r>
        <w:rPr>
          <w:rFonts w:ascii="Times New Roman" w:eastAsia="Calibri" w:hAnsi="Times New Roman"/>
          <w:sz w:val="24"/>
          <w:szCs w:val="24"/>
          <w:lang w:val="en-GB"/>
        </w:rPr>
        <w:t xml:space="preserve">2005. </w:t>
      </w:r>
      <w:r w:rsidRPr="00E864BC">
        <w:rPr>
          <w:rFonts w:ascii="Times New Roman" w:eastAsia="Calibri" w:hAnsi="Times New Roman"/>
          <w:sz w:val="24"/>
          <w:szCs w:val="24"/>
          <w:lang w:val="en-GB"/>
        </w:rPr>
        <w:t xml:space="preserve"> Nástin sociálněhospodářské statistiky</w:t>
      </w:r>
      <w:r>
        <w:rPr>
          <w:rFonts w:ascii="Times New Roman" w:eastAsia="Calibri" w:hAnsi="Times New Roman"/>
          <w:sz w:val="24"/>
          <w:szCs w:val="24"/>
          <w:lang w:val="en-GB"/>
        </w:rPr>
        <w:t>. Prague:</w:t>
      </w:r>
      <w:r w:rsidRPr="00E864BC">
        <w:rPr>
          <w:rFonts w:ascii="Times New Roman" w:eastAsia="Calibri" w:hAnsi="Times New Roman"/>
          <w:sz w:val="24"/>
          <w:szCs w:val="24"/>
          <w:lang w:val="en-GB"/>
        </w:rPr>
        <w:t xml:space="preserve">  Oeconomica.</w:t>
      </w:r>
    </w:p>
    <w:p w:rsidR="008202ED" w:rsidRPr="00E864BC" w:rsidRDefault="008202ED" w:rsidP="008202ED">
      <w:pPr>
        <w:pStyle w:val="Odstavecseseznamem"/>
        <w:autoSpaceDE w:val="0"/>
        <w:autoSpaceDN w:val="0"/>
        <w:adjustRightInd w:val="0"/>
        <w:spacing w:after="0" w:line="480" w:lineRule="auto"/>
        <w:ind w:left="0"/>
        <w:rPr>
          <w:rFonts w:ascii="Times New Roman" w:eastAsia="Calibri" w:hAnsi="Times New Roman"/>
          <w:sz w:val="24"/>
          <w:szCs w:val="24"/>
          <w:lang w:val="en-GB"/>
        </w:rPr>
      </w:pPr>
      <w:r>
        <w:rPr>
          <w:rFonts w:ascii="Times New Roman" w:eastAsia="Calibri" w:hAnsi="Times New Roman"/>
          <w:sz w:val="24"/>
          <w:szCs w:val="24"/>
          <w:lang w:val="en-GB"/>
        </w:rPr>
        <w:t>Hebák</w:t>
      </w:r>
      <w:proofErr w:type="gramStart"/>
      <w:r>
        <w:rPr>
          <w:rFonts w:ascii="Times New Roman" w:eastAsia="Calibri" w:hAnsi="Times New Roman"/>
          <w:sz w:val="24"/>
          <w:szCs w:val="24"/>
          <w:lang w:val="en-GB"/>
        </w:rPr>
        <w:t>,  P</w:t>
      </w:r>
      <w:proofErr w:type="gramEnd"/>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2007</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Vícerozměrné statistické metody</w:t>
      </w:r>
      <w:r>
        <w:rPr>
          <w:rFonts w:ascii="Times New Roman" w:eastAsia="Calibri" w:hAnsi="Times New Roman"/>
          <w:sz w:val="24"/>
          <w:szCs w:val="24"/>
          <w:lang w:val="en-GB"/>
        </w:rPr>
        <w:t>. Prague:</w:t>
      </w:r>
      <w:r w:rsidRPr="00E864BC">
        <w:rPr>
          <w:rFonts w:ascii="Times New Roman" w:eastAsia="Calibri" w:hAnsi="Times New Roman"/>
          <w:sz w:val="24"/>
          <w:szCs w:val="24"/>
          <w:lang w:val="en-GB"/>
        </w:rPr>
        <w:t xml:space="preserve">  Informatorium.</w:t>
      </w:r>
    </w:p>
    <w:p w:rsidR="008202ED" w:rsidRDefault="008202ED" w:rsidP="008202ED">
      <w:pPr>
        <w:pStyle w:val="Odstavecseseznamem"/>
        <w:spacing w:after="0" w:line="480" w:lineRule="auto"/>
        <w:ind w:left="709" w:hanging="709"/>
        <w:rPr>
          <w:rFonts w:ascii="Times New Roman" w:eastAsia="Calibri" w:hAnsi="Times New Roman"/>
          <w:sz w:val="24"/>
          <w:szCs w:val="24"/>
          <w:lang w:val="en-GB" w:eastAsia="en-GB"/>
        </w:rPr>
      </w:pPr>
      <w:r>
        <w:rPr>
          <w:rFonts w:ascii="Times New Roman" w:eastAsia="Calibri" w:hAnsi="Times New Roman"/>
          <w:sz w:val="24"/>
          <w:szCs w:val="24"/>
          <w:lang w:val="en-GB" w:eastAsia="en-GB"/>
        </w:rPr>
        <w:t xml:space="preserve">Konig, J. </w:t>
      </w:r>
      <w:r w:rsidRPr="00E864BC">
        <w:rPr>
          <w:rFonts w:ascii="Times New Roman" w:eastAsia="Calibri" w:hAnsi="Times New Roman"/>
          <w:sz w:val="24"/>
          <w:szCs w:val="24"/>
          <w:lang w:val="en-GB" w:eastAsia="en-GB"/>
        </w:rPr>
        <w:t>2015</w:t>
      </w:r>
      <w:r>
        <w:rPr>
          <w:rFonts w:ascii="Times New Roman" w:eastAsia="Calibri" w:hAnsi="Times New Roman"/>
          <w:sz w:val="24"/>
          <w:szCs w:val="24"/>
          <w:lang w:val="en-GB" w:eastAsia="en-GB"/>
        </w:rPr>
        <w:t>.</w:t>
      </w:r>
      <w:r w:rsidRPr="00E864BC">
        <w:rPr>
          <w:rFonts w:ascii="Times New Roman" w:eastAsia="Calibri" w:hAnsi="Times New Roman"/>
          <w:sz w:val="24"/>
          <w:szCs w:val="24"/>
          <w:lang w:val="en-GB" w:eastAsia="en-GB"/>
        </w:rPr>
        <w:t xml:space="preserve"> European Integration and the Effects of Country Size on Growth</w:t>
      </w:r>
      <w:r>
        <w:rPr>
          <w:rFonts w:ascii="Times New Roman" w:eastAsia="Calibri" w:hAnsi="Times New Roman"/>
          <w:sz w:val="24"/>
          <w:szCs w:val="24"/>
          <w:lang w:val="en-GB" w:eastAsia="en-GB"/>
        </w:rPr>
        <w:t>.</w:t>
      </w:r>
      <w:r w:rsidRPr="00E864BC">
        <w:rPr>
          <w:rFonts w:ascii="Times New Roman" w:eastAsia="Calibri" w:hAnsi="Times New Roman"/>
          <w:sz w:val="24"/>
          <w:szCs w:val="24"/>
          <w:lang w:val="en-GB" w:eastAsia="en-GB"/>
        </w:rPr>
        <w:t xml:space="preserve"> </w:t>
      </w:r>
      <w:r w:rsidRPr="00E864BC">
        <w:rPr>
          <w:rFonts w:ascii="Times New Roman" w:eastAsia="Calibri" w:hAnsi="Times New Roman"/>
          <w:iCs/>
          <w:sz w:val="24"/>
          <w:szCs w:val="24"/>
          <w:lang w:val="en-GB" w:eastAsia="en-GB"/>
        </w:rPr>
        <w:t>Journal of Economic Integration 30</w:t>
      </w:r>
      <w:r>
        <w:rPr>
          <w:rFonts w:ascii="Times New Roman" w:eastAsia="Calibri" w:hAnsi="Times New Roman"/>
          <w:iCs/>
          <w:sz w:val="24"/>
          <w:szCs w:val="24"/>
          <w:lang w:val="en-GB" w:eastAsia="en-GB"/>
        </w:rPr>
        <w:t>(</w:t>
      </w:r>
      <w:r w:rsidRPr="00E864BC">
        <w:rPr>
          <w:rFonts w:ascii="Times New Roman" w:eastAsia="Calibri" w:hAnsi="Times New Roman"/>
          <w:iCs/>
          <w:sz w:val="24"/>
          <w:szCs w:val="24"/>
          <w:lang w:val="en-GB" w:eastAsia="en-GB"/>
        </w:rPr>
        <w:t>3</w:t>
      </w:r>
      <w:r>
        <w:rPr>
          <w:rFonts w:ascii="Times New Roman" w:eastAsia="Calibri" w:hAnsi="Times New Roman"/>
          <w:iCs/>
          <w:sz w:val="24"/>
          <w:szCs w:val="24"/>
          <w:lang w:val="en-GB" w:eastAsia="en-GB"/>
        </w:rPr>
        <w:t xml:space="preserve">): </w:t>
      </w:r>
      <w:r w:rsidRPr="00E864BC">
        <w:rPr>
          <w:rFonts w:ascii="Times New Roman" w:eastAsia="Calibri" w:hAnsi="Times New Roman"/>
          <w:sz w:val="24"/>
          <w:szCs w:val="24"/>
          <w:lang w:val="en-GB" w:eastAsia="en-GB"/>
        </w:rPr>
        <w:t xml:space="preserve">501-531. </w:t>
      </w:r>
    </w:p>
    <w:p w:rsidR="008202ED" w:rsidRPr="00E864BC" w:rsidRDefault="008202ED" w:rsidP="008202ED">
      <w:pPr>
        <w:pStyle w:val="Odstavecseseznamem"/>
        <w:spacing w:after="0" w:line="480" w:lineRule="auto"/>
        <w:ind w:left="709" w:hanging="709"/>
        <w:rPr>
          <w:rFonts w:ascii="Times New Roman" w:hAnsi="Times New Roman"/>
          <w:sz w:val="24"/>
          <w:szCs w:val="24"/>
          <w:lang w:val="en-GB"/>
        </w:rPr>
      </w:pPr>
      <w:r>
        <w:rPr>
          <w:rFonts w:ascii="Times New Roman" w:hAnsi="Times New Roman"/>
          <w:sz w:val="24"/>
          <w:szCs w:val="24"/>
          <w:lang w:val="en-GB"/>
        </w:rPr>
        <w:t xml:space="preserve">Kydland, F. E. and </w:t>
      </w:r>
      <w:r w:rsidRPr="00E864BC">
        <w:rPr>
          <w:rFonts w:ascii="Times New Roman" w:hAnsi="Times New Roman"/>
          <w:sz w:val="24"/>
          <w:szCs w:val="24"/>
          <w:lang w:val="en-GB"/>
        </w:rPr>
        <w:t>Prescott, E.</w:t>
      </w:r>
      <w:r w:rsidRPr="00E864BC">
        <w:rPr>
          <w:rFonts w:ascii="Times New Roman" w:eastAsia="Calibri" w:hAnsi="Times New Roman"/>
          <w:sz w:val="24"/>
          <w:szCs w:val="24"/>
          <w:lang w:val="en-GB"/>
        </w:rPr>
        <w:t xml:space="preserve"> C. 1982</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Time to build and aggregate fluctuations</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w:t>
      </w:r>
      <w:r w:rsidRPr="00E864BC">
        <w:rPr>
          <w:rFonts w:ascii="Times New Roman" w:eastAsia="Calibri" w:hAnsi="Times New Roman"/>
          <w:iCs/>
          <w:sz w:val="24"/>
          <w:szCs w:val="24"/>
          <w:lang w:val="en-GB"/>
        </w:rPr>
        <w:t xml:space="preserve">Econometrica, </w:t>
      </w:r>
      <w:r w:rsidRPr="00E864BC">
        <w:rPr>
          <w:rFonts w:ascii="Times New Roman" w:eastAsia="Calibri" w:hAnsi="Times New Roman"/>
          <w:sz w:val="24"/>
          <w:szCs w:val="24"/>
          <w:lang w:val="en-GB"/>
        </w:rPr>
        <w:t>50</w:t>
      </w:r>
      <w:r>
        <w:rPr>
          <w:rFonts w:ascii="Times New Roman" w:eastAsia="Calibri" w:hAnsi="Times New Roman"/>
          <w:sz w:val="24"/>
          <w:szCs w:val="24"/>
          <w:lang w:val="en-GB"/>
        </w:rPr>
        <w:t>(</w:t>
      </w:r>
      <w:r w:rsidRPr="00E864BC">
        <w:rPr>
          <w:rFonts w:ascii="Times New Roman" w:eastAsia="Calibri" w:hAnsi="Times New Roman"/>
          <w:sz w:val="24"/>
          <w:szCs w:val="24"/>
          <w:lang w:val="en-GB"/>
        </w:rPr>
        <w:t>6</w:t>
      </w:r>
      <w:r>
        <w:rPr>
          <w:rFonts w:ascii="Times New Roman" w:eastAsia="Calibri" w:hAnsi="Times New Roman"/>
          <w:sz w:val="24"/>
          <w:szCs w:val="24"/>
          <w:lang w:val="en-GB"/>
        </w:rPr>
        <w:t>):</w:t>
      </w:r>
      <w:r w:rsidRPr="00E864BC">
        <w:rPr>
          <w:rFonts w:ascii="Times New Roman" w:eastAsia="Calibri" w:hAnsi="Times New Roman"/>
          <w:sz w:val="24"/>
          <w:szCs w:val="24"/>
          <w:lang w:val="en-GB"/>
        </w:rPr>
        <w:t>1345-1370.</w:t>
      </w:r>
    </w:p>
    <w:p w:rsidR="008202ED" w:rsidRPr="00E864BC" w:rsidRDefault="008202ED" w:rsidP="008202ED">
      <w:pPr>
        <w:pStyle w:val="Odstavecseseznamem"/>
        <w:spacing w:after="0" w:line="480" w:lineRule="auto"/>
        <w:ind w:left="709" w:hanging="709"/>
        <w:rPr>
          <w:rFonts w:ascii="Times New Roman" w:eastAsia="Calibri" w:hAnsi="Times New Roman"/>
          <w:sz w:val="24"/>
          <w:szCs w:val="24"/>
          <w:lang w:val="en-GB"/>
        </w:rPr>
      </w:pPr>
      <w:r>
        <w:rPr>
          <w:rFonts w:ascii="Times New Roman" w:eastAsia="Calibri" w:hAnsi="Times New Roman"/>
          <w:sz w:val="24"/>
          <w:szCs w:val="24"/>
          <w:lang w:val="en-GB"/>
        </w:rPr>
        <w:t xml:space="preserve">Kutan, A. M. and </w:t>
      </w:r>
      <w:r w:rsidRPr="00E864BC">
        <w:rPr>
          <w:rFonts w:ascii="Times New Roman" w:eastAsia="Calibri" w:hAnsi="Times New Roman"/>
          <w:sz w:val="24"/>
          <w:szCs w:val="24"/>
          <w:lang w:val="en-GB"/>
        </w:rPr>
        <w:t>Yigit, T. M.</w:t>
      </w:r>
      <w:r>
        <w:rPr>
          <w:rFonts w:ascii="Times New Roman" w:eastAsia="Calibri" w:hAnsi="Times New Roman"/>
          <w:sz w:val="24"/>
          <w:szCs w:val="24"/>
          <w:lang w:val="en-GB"/>
        </w:rPr>
        <w:t xml:space="preserve"> 2007. </w:t>
      </w:r>
      <w:r w:rsidRPr="00E864BC">
        <w:rPr>
          <w:rFonts w:ascii="Times New Roman" w:eastAsia="Calibri" w:hAnsi="Times New Roman"/>
          <w:sz w:val="24"/>
          <w:szCs w:val="24"/>
          <w:lang w:val="en-GB"/>
        </w:rPr>
        <w:t>European integration, productivity growth and real convergence</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w:t>
      </w:r>
      <w:r w:rsidRPr="00E864BC">
        <w:rPr>
          <w:rFonts w:ascii="Times New Roman" w:eastAsia="Calibri" w:hAnsi="Times New Roman"/>
          <w:iCs/>
          <w:sz w:val="24"/>
          <w:szCs w:val="24"/>
          <w:lang w:val="en-GB"/>
        </w:rPr>
        <w:t>European Economic Review</w:t>
      </w:r>
      <w:r>
        <w:rPr>
          <w:rFonts w:ascii="Times New Roman" w:eastAsia="Calibri" w:hAnsi="Times New Roman"/>
          <w:iCs/>
          <w:sz w:val="24"/>
          <w:szCs w:val="24"/>
          <w:lang w:val="en-GB"/>
        </w:rPr>
        <w:t xml:space="preserve"> </w:t>
      </w:r>
      <w:r w:rsidRPr="00E864BC">
        <w:rPr>
          <w:rFonts w:ascii="Times New Roman" w:eastAsia="Calibri" w:hAnsi="Times New Roman"/>
          <w:sz w:val="24"/>
          <w:szCs w:val="24"/>
          <w:lang w:val="en-GB"/>
        </w:rPr>
        <w:t>51</w:t>
      </w:r>
      <w:r>
        <w:rPr>
          <w:rFonts w:ascii="Times New Roman" w:eastAsia="Calibri" w:hAnsi="Times New Roman"/>
          <w:sz w:val="24"/>
          <w:szCs w:val="24"/>
          <w:lang w:val="en-GB"/>
        </w:rPr>
        <w:t>(6):</w:t>
      </w:r>
      <w:r w:rsidRPr="00E864BC">
        <w:rPr>
          <w:rFonts w:ascii="Times New Roman" w:eastAsia="Calibri" w:hAnsi="Times New Roman"/>
          <w:sz w:val="24"/>
          <w:szCs w:val="24"/>
          <w:lang w:val="en-GB"/>
        </w:rPr>
        <w:t xml:space="preserve"> 1370-1395.</w:t>
      </w:r>
    </w:p>
    <w:p w:rsidR="008202ED" w:rsidRPr="00E864BC" w:rsidRDefault="008202ED" w:rsidP="008202ED">
      <w:pPr>
        <w:spacing w:line="480" w:lineRule="auto"/>
        <w:ind w:left="709" w:hanging="709"/>
        <w:rPr>
          <w:lang w:val="en-GB"/>
        </w:rPr>
      </w:pPr>
      <w:r w:rsidRPr="00E864BC">
        <w:rPr>
          <w:lang w:val="en-GB"/>
        </w:rPr>
        <w:lastRenderedPageBreak/>
        <w:t>Mankiw, N. G., Romer, D. and Weil, D. N. 1992</w:t>
      </w:r>
      <w:r>
        <w:rPr>
          <w:lang w:val="en-GB"/>
        </w:rPr>
        <w:t>.</w:t>
      </w:r>
      <w:r w:rsidRPr="00E864BC">
        <w:rPr>
          <w:lang w:val="en-GB"/>
        </w:rPr>
        <w:t xml:space="preserve"> A contribution to the empirics of economic-growth</w:t>
      </w:r>
      <w:r>
        <w:rPr>
          <w:lang w:val="en-GB"/>
        </w:rPr>
        <w:t>.</w:t>
      </w:r>
      <w:r w:rsidRPr="00E864BC">
        <w:rPr>
          <w:lang w:val="en-GB"/>
        </w:rPr>
        <w:t xml:space="preserve"> Quarterly Journal of Economics 107</w:t>
      </w:r>
      <w:r>
        <w:rPr>
          <w:lang w:val="en-GB"/>
        </w:rPr>
        <w:t>(2):</w:t>
      </w:r>
      <w:r w:rsidRPr="00E864BC">
        <w:rPr>
          <w:lang w:val="en-GB"/>
        </w:rPr>
        <w:t xml:space="preserve"> 407-437.</w:t>
      </w:r>
    </w:p>
    <w:p w:rsidR="008202ED" w:rsidRPr="00E864BC" w:rsidRDefault="008202ED" w:rsidP="008202ED">
      <w:pPr>
        <w:pStyle w:val="Odstavecseseznamem"/>
        <w:spacing w:after="0" w:line="480" w:lineRule="auto"/>
        <w:ind w:left="709" w:hanging="709"/>
        <w:rPr>
          <w:rFonts w:ascii="Times New Roman" w:hAnsi="Times New Roman"/>
          <w:color w:val="000000"/>
          <w:sz w:val="24"/>
          <w:szCs w:val="24"/>
          <w:shd w:val="clear" w:color="auto" w:fill="FFFFFF"/>
          <w:lang w:val="en-GB"/>
        </w:rPr>
      </w:pPr>
      <w:r w:rsidRPr="00E864BC">
        <w:rPr>
          <w:rFonts w:ascii="Times New Roman" w:hAnsi="Times New Roman"/>
          <w:color w:val="000000"/>
          <w:sz w:val="24"/>
          <w:szCs w:val="24"/>
          <w:shd w:val="clear" w:color="auto" w:fill="FFFFFF"/>
          <w:lang w:val="en-GB"/>
        </w:rPr>
        <w:t>Mont</w:t>
      </w:r>
      <w:r>
        <w:rPr>
          <w:rFonts w:ascii="Times New Roman" w:hAnsi="Times New Roman"/>
          <w:color w:val="000000"/>
          <w:sz w:val="24"/>
          <w:szCs w:val="24"/>
          <w:shd w:val="clear" w:color="auto" w:fill="FFFFFF"/>
          <w:lang w:val="en-GB"/>
        </w:rPr>
        <w:t>gomery, D. and</w:t>
      </w:r>
      <w:r w:rsidRPr="00E864BC">
        <w:rPr>
          <w:rFonts w:ascii="Times New Roman" w:hAnsi="Times New Roman"/>
          <w:color w:val="000000"/>
          <w:sz w:val="24"/>
          <w:szCs w:val="24"/>
          <w:shd w:val="clear" w:color="auto" w:fill="FFFFFF"/>
          <w:lang w:val="en-GB"/>
        </w:rPr>
        <w:t xml:space="preserve"> Runger, G. 2007</w:t>
      </w:r>
      <w:r>
        <w:rPr>
          <w:rFonts w:ascii="Times New Roman" w:hAnsi="Times New Roman"/>
          <w:color w:val="000000"/>
          <w:sz w:val="24"/>
          <w:szCs w:val="24"/>
          <w:shd w:val="clear" w:color="auto" w:fill="FFFFFF"/>
          <w:lang w:val="en-GB"/>
        </w:rPr>
        <w:t>.</w:t>
      </w:r>
      <w:r w:rsidRPr="00E864BC">
        <w:rPr>
          <w:rFonts w:ascii="Times New Roman" w:hAnsi="Times New Roman"/>
          <w:color w:val="000000"/>
          <w:sz w:val="24"/>
          <w:szCs w:val="24"/>
          <w:shd w:val="clear" w:color="auto" w:fill="FFFFFF"/>
          <w:lang w:val="en-GB"/>
        </w:rPr>
        <w:t xml:space="preserve"> </w:t>
      </w:r>
      <w:r w:rsidRPr="00E864BC">
        <w:rPr>
          <w:rStyle w:val="Zdraznn"/>
          <w:rFonts w:ascii="Times New Roman" w:hAnsi="Times New Roman"/>
          <w:i w:val="0"/>
          <w:color w:val="000000"/>
          <w:sz w:val="24"/>
          <w:szCs w:val="24"/>
          <w:shd w:val="clear" w:color="auto" w:fill="FFFFFF"/>
          <w:lang w:val="en-GB"/>
        </w:rPr>
        <w:t>Applied Statistics and Probability for Engineers</w:t>
      </w:r>
      <w:r>
        <w:rPr>
          <w:rStyle w:val="Zdraznn"/>
          <w:rFonts w:ascii="Times New Roman" w:hAnsi="Times New Roman"/>
          <w:i w:val="0"/>
          <w:color w:val="000000"/>
          <w:sz w:val="24"/>
          <w:szCs w:val="24"/>
          <w:shd w:val="clear" w:color="auto" w:fill="FFFFFF"/>
          <w:lang w:val="en-GB"/>
        </w:rPr>
        <w:t>.</w:t>
      </w:r>
      <w:r w:rsidRPr="00E864BC">
        <w:rPr>
          <w:rFonts w:ascii="Times New Roman" w:hAnsi="Times New Roman"/>
          <w:color w:val="000000"/>
          <w:sz w:val="24"/>
          <w:szCs w:val="24"/>
          <w:shd w:val="clear" w:color="auto" w:fill="FFFFFF"/>
          <w:lang w:val="en-GB"/>
        </w:rPr>
        <w:t xml:space="preserve"> Hoboken, N.J.: Wiley.</w:t>
      </w:r>
    </w:p>
    <w:p w:rsidR="008202ED" w:rsidRPr="00E864BC" w:rsidRDefault="008202ED" w:rsidP="008202ED">
      <w:pPr>
        <w:pStyle w:val="Odstavecseseznamem"/>
        <w:spacing w:after="0" w:line="480" w:lineRule="auto"/>
        <w:ind w:left="709" w:hanging="709"/>
        <w:rPr>
          <w:rFonts w:ascii="Times New Roman" w:eastAsia="Calibri" w:hAnsi="Times New Roman"/>
          <w:sz w:val="24"/>
          <w:szCs w:val="24"/>
          <w:lang w:val="en-GB"/>
        </w:rPr>
      </w:pPr>
      <w:r>
        <w:rPr>
          <w:rFonts w:ascii="Times New Roman" w:eastAsia="Calibri" w:hAnsi="Times New Roman"/>
          <w:sz w:val="24"/>
          <w:szCs w:val="24"/>
          <w:lang w:val="en-GB"/>
        </w:rPr>
        <w:t xml:space="preserve">Nicoletti, G. and </w:t>
      </w:r>
      <w:r w:rsidRPr="00E864BC">
        <w:rPr>
          <w:rFonts w:ascii="Times New Roman" w:eastAsia="Calibri" w:hAnsi="Times New Roman"/>
          <w:sz w:val="24"/>
          <w:szCs w:val="24"/>
          <w:lang w:val="en-GB"/>
        </w:rPr>
        <w:t>Scarpetta, S.</w:t>
      </w:r>
      <w:r>
        <w:rPr>
          <w:rFonts w:ascii="Times New Roman" w:eastAsia="Calibri" w:hAnsi="Times New Roman"/>
          <w:sz w:val="24"/>
          <w:szCs w:val="24"/>
          <w:lang w:val="en-GB"/>
        </w:rPr>
        <w:t xml:space="preserve"> </w:t>
      </w:r>
      <w:r w:rsidRPr="00E864BC">
        <w:rPr>
          <w:rFonts w:ascii="Times New Roman" w:eastAsia="Calibri" w:hAnsi="Times New Roman"/>
          <w:sz w:val="24"/>
          <w:szCs w:val="24"/>
          <w:lang w:val="en-GB"/>
        </w:rPr>
        <w:t>2003</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Regulation, productivity and growth: OECD evidence</w:t>
      </w:r>
      <w:r>
        <w:rPr>
          <w:rFonts w:ascii="Times New Roman" w:eastAsia="Calibri" w:hAnsi="Times New Roman"/>
          <w:sz w:val="24"/>
          <w:szCs w:val="24"/>
          <w:lang w:val="en-GB"/>
        </w:rPr>
        <w:t xml:space="preserve">. </w:t>
      </w:r>
      <w:r w:rsidRPr="00E864BC">
        <w:rPr>
          <w:rFonts w:ascii="Times New Roman" w:eastAsia="Calibri" w:hAnsi="Times New Roman"/>
          <w:iCs/>
          <w:sz w:val="24"/>
          <w:szCs w:val="24"/>
          <w:lang w:val="en-GB"/>
        </w:rPr>
        <w:t>Economic Policy</w:t>
      </w:r>
      <w:r>
        <w:rPr>
          <w:rFonts w:ascii="Times New Roman" w:eastAsia="Calibri" w:hAnsi="Times New Roman"/>
          <w:iCs/>
          <w:sz w:val="24"/>
          <w:szCs w:val="24"/>
          <w:lang w:val="en-GB"/>
        </w:rPr>
        <w:t xml:space="preserve"> </w:t>
      </w:r>
      <w:r w:rsidRPr="00E864BC">
        <w:rPr>
          <w:rFonts w:ascii="Times New Roman" w:eastAsia="Calibri" w:hAnsi="Times New Roman"/>
          <w:sz w:val="24"/>
          <w:szCs w:val="24"/>
          <w:lang w:val="en-GB"/>
        </w:rPr>
        <w:t>18</w:t>
      </w:r>
      <w:r>
        <w:rPr>
          <w:rFonts w:ascii="Times New Roman" w:eastAsia="Calibri" w:hAnsi="Times New Roman"/>
          <w:sz w:val="24"/>
          <w:szCs w:val="24"/>
          <w:lang w:val="en-GB"/>
        </w:rPr>
        <w:t>(</w:t>
      </w:r>
      <w:r w:rsidRPr="00E864BC">
        <w:rPr>
          <w:rFonts w:ascii="Times New Roman" w:eastAsia="Calibri" w:hAnsi="Times New Roman"/>
          <w:sz w:val="24"/>
          <w:szCs w:val="24"/>
          <w:lang w:val="en-GB"/>
        </w:rPr>
        <w:t>36</w:t>
      </w:r>
      <w:r>
        <w:rPr>
          <w:rFonts w:ascii="Times New Roman" w:eastAsia="Calibri" w:hAnsi="Times New Roman"/>
          <w:sz w:val="24"/>
          <w:szCs w:val="24"/>
          <w:lang w:val="en-GB"/>
        </w:rPr>
        <w:t>):</w:t>
      </w:r>
      <w:r w:rsidRPr="00E864BC">
        <w:rPr>
          <w:rFonts w:ascii="Times New Roman" w:eastAsia="Calibri" w:hAnsi="Times New Roman"/>
          <w:sz w:val="24"/>
          <w:szCs w:val="24"/>
          <w:lang w:val="en-GB"/>
        </w:rPr>
        <w:t xml:space="preserve"> 9-72. </w:t>
      </w:r>
    </w:p>
    <w:p w:rsidR="008202ED" w:rsidRPr="00E864BC" w:rsidRDefault="008202ED" w:rsidP="008202ED">
      <w:pPr>
        <w:pStyle w:val="Zkladntext2"/>
        <w:widowControl w:val="0"/>
        <w:autoSpaceDE w:val="0"/>
        <w:autoSpaceDN w:val="0"/>
        <w:spacing w:after="0"/>
        <w:ind w:left="709" w:hanging="709"/>
        <w:rPr>
          <w:rFonts w:eastAsia="Calibri"/>
          <w:lang w:val="en-GB" w:eastAsia="en-US"/>
        </w:rPr>
      </w:pPr>
      <w:r w:rsidRPr="00E864BC">
        <w:rPr>
          <w:rFonts w:eastAsia="Calibri"/>
          <w:lang w:val="en-GB" w:eastAsia="en-US"/>
        </w:rPr>
        <w:t>O'</w:t>
      </w:r>
      <w:r>
        <w:rPr>
          <w:rFonts w:eastAsia="Calibri"/>
          <w:lang w:val="en-GB" w:eastAsia="en-US"/>
        </w:rPr>
        <w:t>Mahony, M.,   Rincon-Aznar, A. and</w:t>
      </w:r>
      <w:r w:rsidRPr="00E864BC">
        <w:rPr>
          <w:rFonts w:eastAsia="Calibri"/>
          <w:lang w:val="en-GB" w:eastAsia="en-US"/>
        </w:rPr>
        <w:t xml:space="preserve"> Robinson, R.  2010</w:t>
      </w:r>
      <w:r>
        <w:rPr>
          <w:rFonts w:eastAsia="Calibri"/>
          <w:lang w:val="en-GB" w:eastAsia="en-US"/>
        </w:rPr>
        <w:t xml:space="preserve">.  </w:t>
      </w:r>
      <w:r w:rsidRPr="00E864BC">
        <w:rPr>
          <w:rFonts w:eastAsia="Calibri"/>
          <w:lang w:val="en-GB" w:eastAsia="en-US"/>
        </w:rPr>
        <w:t xml:space="preserve">Productivity growth in the US and the EU: </w:t>
      </w:r>
      <w:r>
        <w:rPr>
          <w:rFonts w:eastAsia="Calibri"/>
          <w:lang w:val="en-GB" w:eastAsia="en-US"/>
        </w:rPr>
        <w:t xml:space="preserve">A sectoral analysis. </w:t>
      </w:r>
      <w:r w:rsidRPr="00E864BC">
        <w:rPr>
          <w:rFonts w:eastAsia="Calibri"/>
          <w:lang w:val="en-GB" w:eastAsia="en-US"/>
        </w:rPr>
        <w:t>Review of Economics and Institutions</w:t>
      </w:r>
      <w:r>
        <w:rPr>
          <w:rFonts w:eastAsia="Calibri"/>
          <w:lang w:val="en-GB" w:eastAsia="en-US"/>
        </w:rPr>
        <w:t xml:space="preserve"> </w:t>
      </w:r>
      <w:r w:rsidRPr="00E864BC">
        <w:rPr>
          <w:rFonts w:eastAsia="Calibri"/>
          <w:lang w:val="en-GB" w:eastAsia="en-US"/>
        </w:rPr>
        <w:t>1</w:t>
      </w:r>
      <w:r>
        <w:rPr>
          <w:rFonts w:eastAsia="Calibri"/>
          <w:lang w:val="en-GB" w:eastAsia="en-US"/>
        </w:rPr>
        <w:t>(1).</w:t>
      </w:r>
      <w:r w:rsidRPr="00E864BC">
        <w:rPr>
          <w:rFonts w:eastAsia="SimSun"/>
          <w:lang w:val="en-GB" w:eastAsia="zh-CN"/>
        </w:rPr>
        <w:t xml:space="preserve"> </w:t>
      </w:r>
      <w:r w:rsidRPr="00E864BC">
        <w:rPr>
          <w:lang w:val="en-GB"/>
        </w:rPr>
        <w:t>Retrieved from http://www.rei.unipg.it/rei/article/view/</w:t>
      </w:r>
      <w:proofErr w:type="gramStart"/>
      <w:r w:rsidRPr="00E864BC">
        <w:rPr>
          <w:lang w:val="en-GB"/>
        </w:rPr>
        <w:t xml:space="preserve">5 </w:t>
      </w:r>
      <w:r w:rsidRPr="00E079E1">
        <w:rPr>
          <w:lang w:val="en-GB"/>
        </w:rPr>
        <w:t xml:space="preserve"> (</w:t>
      </w:r>
      <w:proofErr w:type="gramEnd"/>
      <w:r w:rsidRPr="00E079E1">
        <w:rPr>
          <w:lang w:val="en-GB"/>
        </w:rPr>
        <w:t xml:space="preserve">accessed </w:t>
      </w:r>
      <w:r>
        <w:rPr>
          <w:lang w:val="en-GB"/>
        </w:rPr>
        <w:t>March 5, 2017</w:t>
      </w:r>
      <w:r w:rsidRPr="00E079E1">
        <w:rPr>
          <w:lang w:val="en-GB"/>
        </w:rPr>
        <w:t>).</w:t>
      </w:r>
    </w:p>
    <w:p w:rsidR="008202ED" w:rsidRPr="00E864BC" w:rsidRDefault="008202ED" w:rsidP="008202ED">
      <w:pPr>
        <w:pStyle w:val="Zkladntext2"/>
        <w:widowControl w:val="0"/>
        <w:autoSpaceDE w:val="0"/>
        <w:autoSpaceDN w:val="0"/>
        <w:spacing w:after="0"/>
        <w:ind w:left="709" w:hanging="709"/>
        <w:rPr>
          <w:rFonts w:eastAsia="Calibri"/>
          <w:lang w:val="en-GB" w:eastAsia="en-US"/>
        </w:rPr>
      </w:pPr>
      <w:r>
        <w:rPr>
          <w:lang w:val="en-GB"/>
        </w:rPr>
        <w:t>Praag, M. and</w:t>
      </w:r>
      <w:r w:rsidRPr="00E864BC">
        <w:rPr>
          <w:lang w:val="en-GB"/>
        </w:rPr>
        <w:t xml:space="preserve"> Versloot, P.</w:t>
      </w:r>
      <w:r>
        <w:rPr>
          <w:lang w:val="en-GB"/>
        </w:rPr>
        <w:t xml:space="preserve"> 2008. </w:t>
      </w:r>
      <w:r w:rsidRPr="00E864BC">
        <w:rPr>
          <w:lang w:val="en-GB"/>
        </w:rPr>
        <w:t>The Economic Benefits and Costs of Entrepreneurship: A Review of the Research</w:t>
      </w:r>
      <w:r>
        <w:rPr>
          <w:lang w:val="en-GB"/>
        </w:rPr>
        <w:t xml:space="preserve">. </w:t>
      </w:r>
      <w:r w:rsidRPr="00E864BC">
        <w:rPr>
          <w:lang w:val="en-GB"/>
        </w:rPr>
        <w:t xml:space="preserve"> Foundations and Trends in </w:t>
      </w:r>
      <w:proofErr w:type="gramStart"/>
      <w:r w:rsidRPr="00E864BC">
        <w:rPr>
          <w:lang w:val="en-GB"/>
        </w:rPr>
        <w:t>Entrepreneurship</w:t>
      </w:r>
      <w:r>
        <w:rPr>
          <w:lang w:val="en-GB"/>
        </w:rPr>
        <w:t xml:space="preserve">  4</w:t>
      </w:r>
      <w:proofErr w:type="gramEnd"/>
      <w:r>
        <w:rPr>
          <w:lang w:val="en-GB"/>
        </w:rPr>
        <w:t>(2):</w:t>
      </w:r>
      <w:r w:rsidRPr="00E864BC">
        <w:rPr>
          <w:lang w:val="en-GB"/>
        </w:rPr>
        <w:t xml:space="preserve"> 65-154.</w:t>
      </w:r>
    </w:p>
    <w:p w:rsidR="008202ED" w:rsidRDefault="008202ED" w:rsidP="008202ED">
      <w:pPr>
        <w:pStyle w:val="Zkladntext2"/>
        <w:widowControl w:val="0"/>
        <w:autoSpaceDE w:val="0"/>
        <w:autoSpaceDN w:val="0"/>
        <w:spacing w:after="0"/>
        <w:ind w:left="709" w:hanging="709"/>
        <w:rPr>
          <w:lang w:val="en-GB"/>
        </w:rPr>
      </w:pPr>
      <w:r w:rsidRPr="00E864BC">
        <w:rPr>
          <w:lang w:val="en-GB"/>
        </w:rPr>
        <w:t>Prescott, E. C.</w:t>
      </w:r>
      <w:r>
        <w:rPr>
          <w:lang w:val="en-GB"/>
        </w:rPr>
        <w:t xml:space="preserve"> 1998. </w:t>
      </w:r>
      <w:r w:rsidRPr="00E864BC">
        <w:rPr>
          <w:lang w:val="en-GB"/>
        </w:rPr>
        <w:t xml:space="preserve"> Lawrence R. Klein Lecture 1997: Needed: A Theory of Total Factor Productivity</w:t>
      </w:r>
      <w:r>
        <w:rPr>
          <w:lang w:val="en-GB"/>
        </w:rPr>
        <w:t>.</w:t>
      </w:r>
      <w:r w:rsidRPr="00E864BC">
        <w:rPr>
          <w:lang w:val="en-GB"/>
        </w:rPr>
        <w:t xml:space="preserve"> </w:t>
      </w:r>
      <w:r w:rsidRPr="00E864BC">
        <w:rPr>
          <w:iCs/>
          <w:lang w:val="en-GB"/>
        </w:rPr>
        <w:t>International Economic Review</w:t>
      </w:r>
      <w:r>
        <w:rPr>
          <w:iCs/>
          <w:lang w:val="en-GB"/>
        </w:rPr>
        <w:t xml:space="preserve"> </w:t>
      </w:r>
      <w:r w:rsidRPr="00E864BC">
        <w:rPr>
          <w:lang w:val="en-GB"/>
        </w:rPr>
        <w:t>39</w:t>
      </w:r>
      <w:r>
        <w:rPr>
          <w:lang w:val="en-GB"/>
        </w:rPr>
        <w:t>(</w:t>
      </w:r>
      <w:r w:rsidRPr="00E864BC">
        <w:rPr>
          <w:lang w:val="en-GB"/>
        </w:rPr>
        <w:t>3</w:t>
      </w:r>
      <w:r>
        <w:rPr>
          <w:lang w:val="en-GB"/>
        </w:rPr>
        <w:t>):</w:t>
      </w:r>
      <w:r w:rsidRPr="00E864BC">
        <w:rPr>
          <w:lang w:val="en-GB"/>
        </w:rPr>
        <w:t xml:space="preserve"> 525-551. </w:t>
      </w:r>
    </w:p>
    <w:p w:rsidR="008202ED" w:rsidRPr="00E864BC" w:rsidRDefault="008202ED" w:rsidP="008202ED">
      <w:pPr>
        <w:pStyle w:val="Zkladntext2"/>
        <w:widowControl w:val="0"/>
        <w:autoSpaceDE w:val="0"/>
        <w:autoSpaceDN w:val="0"/>
        <w:spacing w:after="0"/>
        <w:ind w:left="709" w:hanging="709"/>
        <w:rPr>
          <w:lang w:val="en-GB"/>
        </w:rPr>
      </w:pPr>
      <w:r w:rsidRPr="009109F2">
        <w:rPr>
          <w:lang w:val="en-GB"/>
        </w:rPr>
        <w:t>Pušnik, K.</w:t>
      </w:r>
      <w:r>
        <w:rPr>
          <w:lang w:val="en-GB"/>
        </w:rPr>
        <w:t xml:space="preserve"> and Tajnikar, M.</w:t>
      </w:r>
      <w:r w:rsidRPr="009109F2">
        <w:rPr>
          <w:lang w:val="en-GB"/>
        </w:rPr>
        <w:t xml:space="preserve"> 2010. Heterogeneity and Competitiveness of Entrepreneurial Processes </w:t>
      </w:r>
      <w:proofErr w:type="gramStart"/>
      <w:r w:rsidRPr="009109F2">
        <w:rPr>
          <w:lang w:val="en-GB"/>
        </w:rPr>
        <w:t>in the European Union with Special Attention on Croatia as Candidate Country</w:t>
      </w:r>
      <w:proofErr w:type="gramEnd"/>
      <w:r w:rsidRPr="009109F2">
        <w:rPr>
          <w:lang w:val="en-GB"/>
        </w:rPr>
        <w:t>. South East European Journal of Economics and Business</w:t>
      </w:r>
      <w:r>
        <w:rPr>
          <w:lang w:val="en-GB"/>
        </w:rPr>
        <w:t xml:space="preserve"> 5(1): </w:t>
      </w:r>
      <w:r w:rsidRPr="009109F2">
        <w:rPr>
          <w:lang w:val="en-GB"/>
        </w:rPr>
        <w:t>7-18.</w:t>
      </w:r>
    </w:p>
    <w:p w:rsidR="008202ED" w:rsidRPr="00E864BC" w:rsidRDefault="008202ED" w:rsidP="008202ED">
      <w:pPr>
        <w:pStyle w:val="Zkladntext2"/>
        <w:widowControl w:val="0"/>
        <w:autoSpaceDE w:val="0"/>
        <w:autoSpaceDN w:val="0"/>
        <w:spacing w:after="0"/>
        <w:ind w:left="709" w:hanging="709"/>
        <w:rPr>
          <w:rFonts w:eastAsia="Calibri"/>
          <w:lang w:val="en-GB" w:eastAsia="en-US"/>
        </w:rPr>
      </w:pPr>
      <w:r w:rsidRPr="00E864BC">
        <w:rPr>
          <w:rFonts w:eastAsia="Calibri"/>
          <w:lang w:val="en-GB" w:eastAsia="en-US"/>
        </w:rPr>
        <w:t xml:space="preserve">Rebelo, S. </w:t>
      </w:r>
      <w:r>
        <w:rPr>
          <w:rFonts w:eastAsia="Calibri"/>
          <w:lang w:val="en-GB" w:eastAsia="en-US"/>
        </w:rPr>
        <w:t xml:space="preserve">2005. </w:t>
      </w:r>
      <w:r w:rsidRPr="00E864BC">
        <w:rPr>
          <w:rFonts w:eastAsia="Calibri"/>
          <w:lang w:val="en-GB" w:eastAsia="en-US"/>
        </w:rPr>
        <w:t>Real Business Cycle Models: Past, Present and Future</w:t>
      </w:r>
      <w:r>
        <w:rPr>
          <w:rFonts w:eastAsia="Calibri"/>
          <w:lang w:val="en-GB" w:eastAsia="en-US"/>
        </w:rPr>
        <w:t xml:space="preserve">. </w:t>
      </w:r>
      <w:r w:rsidRPr="00E864BC">
        <w:rPr>
          <w:rFonts w:eastAsia="Calibri"/>
          <w:iCs/>
          <w:lang w:val="en-GB" w:eastAsia="en-US"/>
        </w:rPr>
        <w:t>Scandinavian Journal of Economics</w:t>
      </w:r>
      <w:r>
        <w:rPr>
          <w:rFonts w:eastAsia="Calibri"/>
          <w:iCs/>
          <w:lang w:val="en-GB" w:eastAsia="en-US"/>
        </w:rPr>
        <w:t xml:space="preserve"> </w:t>
      </w:r>
      <w:r w:rsidRPr="00E864BC">
        <w:rPr>
          <w:rFonts w:eastAsia="Calibri"/>
          <w:lang w:val="en-GB" w:eastAsia="en-US"/>
        </w:rPr>
        <w:t>107</w:t>
      </w:r>
      <w:r>
        <w:rPr>
          <w:rFonts w:eastAsia="Calibri"/>
          <w:lang w:val="en-GB" w:eastAsia="en-US"/>
        </w:rPr>
        <w:t>(</w:t>
      </w:r>
      <w:r w:rsidRPr="00E864BC">
        <w:rPr>
          <w:rFonts w:eastAsia="Calibri"/>
          <w:lang w:val="en-GB" w:eastAsia="en-US"/>
        </w:rPr>
        <w:t>2</w:t>
      </w:r>
      <w:r>
        <w:rPr>
          <w:rFonts w:eastAsia="Calibri"/>
          <w:lang w:val="en-GB" w:eastAsia="en-US"/>
        </w:rPr>
        <w:t>):</w:t>
      </w:r>
      <w:r w:rsidRPr="00E864BC">
        <w:rPr>
          <w:rFonts w:eastAsia="Calibri"/>
          <w:lang w:val="en-GB" w:eastAsia="en-US"/>
        </w:rPr>
        <w:t xml:space="preserve"> 217-238.</w:t>
      </w:r>
    </w:p>
    <w:p w:rsidR="008202ED" w:rsidRPr="00E864BC" w:rsidRDefault="008202ED" w:rsidP="008202ED">
      <w:pPr>
        <w:pStyle w:val="Zkladntext2"/>
        <w:widowControl w:val="0"/>
        <w:autoSpaceDE w:val="0"/>
        <w:autoSpaceDN w:val="0"/>
        <w:spacing w:after="0"/>
        <w:ind w:left="709" w:hanging="709"/>
        <w:rPr>
          <w:rFonts w:eastAsia="Calibri"/>
          <w:lang w:val="en-GB" w:eastAsia="en-US"/>
        </w:rPr>
      </w:pPr>
      <w:r>
        <w:rPr>
          <w:rFonts w:eastAsia="Calibri"/>
          <w:lang w:val="en-GB" w:eastAsia="en-US"/>
        </w:rPr>
        <w:t xml:space="preserve">Sala, H. and </w:t>
      </w:r>
      <w:r w:rsidRPr="00E864BC">
        <w:rPr>
          <w:rFonts w:eastAsia="Calibri"/>
          <w:lang w:val="en-GB" w:eastAsia="en-US"/>
        </w:rPr>
        <w:t>Silva, J.</w:t>
      </w:r>
      <w:r>
        <w:rPr>
          <w:rFonts w:eastAsia="Calibri"/>
          <w:lang w:val="en-GB" w:eastAsia="en-US"/>
        </w:rPr>
        <w:t xml:space="preserve"> 2013. </w:t>
      </w:r>
      <w:r w:rsidRPr="00E864BC">
        <w:rPr>
          <w:rFonts w:eastAsia="Calibri"/>
          <w:lang w:val="en-GB" w:eastAsia="en-US"/>
        </w:rPr>
        <w:t xml:space="preserve">Labor productivity and vocational training: evidence from Europe. </w:t>
      </w:r>
      <w:r w:rsidRPr="00E864BC">
        <w:rPr>
          <w:rFonts w:eastAsia="Calibri"/>
          <w:iCs/>
          <w:lang w:val="en-GB" w:eastAsia="en-US"/>
        </w:rPr>
        <w:t xml:space="preserve">Journal of Productivity </w:t>
      </w:r>
      <w:proofErr w:type="gramStart"/>
      <w:r w:rsidRPr="00E864BC">
        <w:rPr>
          <w:rFonts w:eastAsia="Calibri"/>
          <w:iCs/>
          <w:lang w:val="en-GB" w:eastAsia="en-US"/>
        </w:rPr>
        <w:t>Analysis</w:t>
      </w:r>
      <w:r>
        <w:rPr>
          <w:rFonts w:eastAsia="Calibri"/>
          <w:iCs/>
          <w:lang w:val="en-GB" w:eastAsia="en-US"/>
        </w:rPr>
        <w:t xml:space="preserve"> </w:t>
      </w:r>
      <w:r w:rsidRPr="00E864BC">
        <w:rPr>
          <w:rFonts w:eastAsia="Calibri"/>
          <w:lang w:val="en-GB" w:eastAsia="en-US"/>
        </w:rPr>
        <w:t xml:space="preserve"> 40</w:t>
      </w:r>
      <w:proofErr w:type="gramEnd"/>
      <w:r>
        <w:rPr>
          <w:rFonts w:eastAsia="Calibri"/>
          <w:lang w:val="en-GB" w:eastAsia="en-US"/>
        </w:rPr>
        <w:t xml:space="preserve">(1): </w:t>
      </w:r>
      <w:r w:rsidRPr="00E864BC">
        <w:rPr>
          <w:rFonts w:eastAsia="Calibri"/>
          <w:lang w:val="en-GB" w:eastAsia="en-US"/>
        </w:rPr>
        <w:t>31-41.</w:t>
      </w:r>
    </w:p>
    <w:p w:rsidR="008202ED" w:rsidRPr="00E864BC" w:rsidRDefault="008202ED" w:rsidP="008202ED">
      <w:pPr>
        <w:pStyle w:val="Zkladntext2"/>
        <w:widowControl w:val="0"/>
        <w:autoSpaceDE w:val="0"/>
        <w:autoSpaceDN w:val="0"/>
        <w:spacing w:after="0"/>
        <w:ind w:left="709" w:hanging="709"/>
        <w:rPr>
          <w:lang w:val="en-GB"/>
        </w:rPr>
      </w:pPr>
      <w:r>
        <w:rPr>
          <w:lang w:val="en-GB"/>
        </w:rPr>
        <w:t>Střeleček, F.and</w:t>
      </w:r>
      <w:r w:rsidRPr="00E864BC">
        <w:rPr>
          <w:lang w:val="en-GB"/>
        </w:rPr>
        <w:t xml:space="preserve"> Lososová, J.</w:t>
      </w:r>
      <w:r>
        <w:rPr>
          <w:lang w:val="en-GB"/>
        </w:rPr>
        <w:t xml:space="preserve"> </w:t>
      </w:r>
      <w:r w:rsidRPr="00E864BC">
        <w:rPr>
          <w:lang w:val="en-GB"/>
        </w:rPr>
        <w:t>2003</w:t>
      </w:r>
      <w:r>
        <w:rPr>
          <w:lang w:val="en-GB"/>
        </w:rPr>
        <w:t xml:space="preserve">. </w:t>
      </w:r>
      <w:r w:rsidRPr="00E864BC">
        <w:rPr>
          <w:lang w:val="en-GB"/>
        </w:rPr>
        <w:t>An evaluation of the types of technical development in ag</w:t>
      </w:r>
      <w:r>
        <w:rPr>
          <w:lang w:val="en-GB"/>
        </w:rPr>
        <w:t xml:space="preserve">riculture in the years 1995-2000. </w:t>
      </w:r>
      <w:r w:rsidRPr="00E864BC">
        <w:rPr>
          <w:lang w:val="en-GB"/>
        </w:rPr>
        <w:t xml:space="preserve"> </w:t>
      </w:r>
      <w:r w:rsidRPr="00E864BC">
        <w:rPr>
          <w:color w:val="000000"/>
          <w:lang w:val="en-GB"/>
        </w:rPr>
        <w:t>Agricultural Economics</w:t>
      </w:r>
      <w:r>
        <w:rPr>
          <w:color w:val="000000"/>
          <w:lang w:val="en-GB"/>
        </w:rPr>
        <w:t xml:space="preserve"> </w:t>
      </w:r>
      <w:r w:rsidRPr="00E864BC">
        <w:rPr>
          <w:color w:val="000000"/>
          <w:lang w:val="en-GB"/>
        </w:rPr>
        <w:t>49</w:t>
      </w:r>
      <w:r>
        <w:rPr>
          <w:color w:val="000000"/>
          <w:lang w:val="en-GB"/>
        </w:rPr>
        <w:t>(</w:t>
      </w:r>
      <w:r w:rsidRPr="00E864BC">
        <w:rPr>
          <w:color w:val="000000"/>
          <w:lang w:val="en-GB"/>
        </w:rPr>
        <w:t>4</w:t>
      </w:r>
      <w:r>
        <w:rPr>
          <w:color w:val="000000"/>
          <w:lang w:val="en-GB"/>
        </w:rPr>
        <w:t xml:space="preserve">): </w:t>
      </w:r>
      <w:r w:rsidRPr="00E864BC">
        <w:rPr>
          <w:lang w:val="en-GB"/>
        </w:rPr>
        <w:t>151 - 165.</w:t>
      </w:r>
    </w:p>
    <w:p w:rsidR="008202ED" w:rsidRPr="00E864BC" w:rsidRDefault="008202ED" w:rsidP="008202ED">
      <w:pPr>
        <w:pStyle w:val="Zkladntext2"/>
        <w:widowControl w:val="0"/>
        <w:autoSpaceDE w:val="0"/>
        <w:autoSpaceDN w:val="0"/>
        <w:spacing w:after="0"/>
        <w:ind w:left="709" w:hanging="709"/>
        <w:rPr>
          <w:rFonts w:eastAsia="Calibri"/>
          <w:lang w:val="en-GB" w:eastAsia="en-US"/>
        </w:rPr>
      </w:pPr>
      <w:r>
        <w:rPr>
          <w:rFonts w:eastAsia="Calibri"/>
          <w:lang w:val="en-GB" w:eastAsia="en-US"/>
        </w:rPr>
        <w:t xml:space="preserve">Synek, M., Kopkáně, H. </w:t>
      </w:r>
      <w:proofErr w:type="gramStart"/>
      <w:r>
        <w:rPr>
          <w:rFonts w:eastAsia="Calibri"/>
          <w:lang w:val="en-GB" w:eastAsia="en-US"/>
        </w:rPr>
        <w:t>and  Kuba</w:t>
      </w:r>
      <w:proofErr w:type="gramEnd"/>
      <w:r>
        <w:rPr>
          <w:rFonts w:eastAsia="Calibri"/>
          <w:lang w:val="en-GB" w:eastAsia="en-US"/>
        </w:rPr>
        <w:t>́lková, M. 2009.</w:t>
      </w:r>
      <w:r w:rsidRPr="00E864BC">
        <w:rPr>
          <w:rFonts w:eastAsia="Calibri"/>
          <w:lang w:val="en-GB" w:eastAsia="en-US"/>
        </w:rPr>
        <w:t xml:space="preserve"> Manažerské výpočty </w:t>
      </w:r>
      <w:proofErr w:type="gramStart"/>
      <w:r w:rsidRPr="00E864BC">
        <w:rPr>
          <w:rFonts w:eastAsia="Calibri"/>
          <w:lang w:val="en-GB" w:eastAsia="en-US"/>
        </w:rPr>
        <w:t>a</w:t>
      </w:r>
      <w:proofErr w:type="gramEnd"/>
      <w:r w:rsidRPr="00E864BC">
        <w:rPr>
          <w:rFonts w:eastAsia="Calibri"/>
          <w:lang w:val="en-GB" w:eastAsia="en-US"/>
        </w:rPr>
        <w:t xml:space="preserve"> ekonomická analýza</w:t>
      </w:r>
      <w:r>
        <w:rPr>
          <w:rFonts w:eastAsia="Calibri"/>
          <w:lang w:val="en-GB" w:eastAsia="en-US"/>
        </w:rPr>
        <w:t>, Prague:</w:t>
      </w:r>
      <w:r w:rsidRPr="00E864BC">
        <w:rPr>
          <w:rFonts w:eastAsia="Calibri"/>
          <w:lang w:val="en-GB" w:eastAsia="en-US"/>
        </w:rPr>
        <w:t xml:space="preserve"> C.H. Beck.</w:t>
      </w:r>
    </w:p>
    <w:p w:rsidR="008202ED" w:rsidRPr="00E864BC" w:rsidRDefault="008202ED" w:rsidP="008202ED">
      <w:pPr>
        <w:pStyle w:val="Odstavecseseznamem"/>
        <w:autoSpaceDE w:val="0"/>
        <w:autoSpaceDN w:val="0"/>
        <w:adjustRightInd w:val="0"/>
        <w:spacing w:after="0" w:line="480" w:lineRule="auto"/>
        <w:ind w:left="709" w:hanging="709"/>
        <w:jc w:val="both"/>
        <w:rPr>
          <w:rFonts w:ascii="Times New Roman" w:hAnsi="Times New Roman"/>
          <w:sz w:val="24"/>
          <w:szCs w:val="24"/>
          <w:lang w:val="en-GB"/>
        </w:rPr>
      </w:pPr>
      <w:r>
        <w:rPr>
          <w:rFonts w:ascii="Times New Roman" w:hAnsi="Times New Roman"/>
          <w:sz w:val="24"/>
          <w:szCs w:val="24"/>
          <w:lang w:val="en-GB"/>
        </w:rPr>
        <w:lastRenderedPageBreak/>
        <w:t xml:space="preserve">Travaglini, G. 2012. </w:t>
      </w:r>
      <w:r w:rsidRPr="00E864BC">
        <w:rPr>
          <w:rFonts w:ascii="Times New Roman" w:hAnsi="Times New Roman"/>
          <w:sz w:val="24"/>
          <w:szCs w:val="24"/>
          <w:lang w:val="en-GB"/>
        </w:rPr>
        <w:t>Trade-off between labor productivity and capital accumulation in Italian energy sector</w:t>
      </w:r>
      <w:r>
        <w:rPr>
          <w:rFonts w:ascii="Times New Roman" w:hAnsi="Times New Roman"/>
          <w:sz w:val="24"/>
          <w:szCs w:val="24"/>
          <w:lang w:val="en-GB"/>
        </w:rPr>
        <w:t xml:space="preserve">. </w:t>
      </w:r>
      <w:r w:rsidRPr="00E864BC">
        <w:rPr>
          <w:rFonts w:ascii="Times New Roman" w:hAnsi="Times New Roman"/>
          <w:sz w:val="24"/>
          <w:szCs w:val="24"/>
          <w:lang w:val="en-GB"/>
        </w:rPr>
        <w:t>Journal of Policy Modeling</w:t>
      </w:r>
      <w:r>
        <w:rPr>
          <w:rFonts w:ascii="Times New Roman" w:hAnsi="Times New Roman"/>
          <w:sz w:val="24"/>
          <w:szCs w:val="24"/>
          <w:lang w:val="en-GB"/>
        </w:rPr>
        <w:t xml:space="preserve"> </w:t>
      </w:r>
      <w:r w:rsidRPr="00E864BC">
        <w:rPr>
          <w:rFonts w:ascii="Times New Roman" w:hAnsi="Times New Roman"/>
          <w:sz w:val="24"/>
          <w:szCs w:val="24"/>
          <w:lang w:val="en-GB"/>
        </w:rPr>
        <w:t>34</w:t>
      </w:r>
      <w:r>
        <w:rPr>
          <w:rFonts w:ascii="Times New Roman" w:hAnsi="Times New Roman"/>
          <w:sz w:val="24"/>
          <w:szCs w:val="24"/>
          <w:lang w:val="en-GB"/>
        </w:rPr>
        <w:t>(1):</w:t>
      </w:r>
      <w:r w:rsidRPr="00E864BC">
        <w:rPr>
          <w:rFonts w:ascii="Times New Roman" w:hAnsi="Times New Roman"/>
          <w:sz w:val="24"/>
          <w:szCs w:val="24"/>
          <w:lang w:val="en-GB"/>
        </w:rPr>
        <w:t xml:space="preserve"> 35-48.</w:t>
      </w:r>
    </w:p>
    <w:p w:rsidR="00127422" w:rsidRDefault="00127422" w:rsidP="00127422">
      <w:pPr>
        <w:spacing w:line="480" w:lineRule="auto"/>
        <w:ind w:hanging="480"/>
      </w:pPr>
      <w:r>
        <w:t xml:space="preserve">Machacek, M. (2001). Real business cycles in open economies. </w:t>
      </w:r>
      <w:r>
        <w:rPr>
          <w:i/>
          <w:iCs/>
        </w:rPr>
        <w:t>FINANCE A UVER</w:t>
      </w:r>
      <w:r>
        <w:t xml:space="preserve">, </w:t>
      </w:r>
      <w:r>
        <w:rPr>
          <w:i/>
          <w:iCs/>
        </w:rPr>
        <w:t>51</w:t>
      </w:r>
      <w:r>
        <w:t>(2), 81–98.</w:t>
      </w:r>
    </w:p>
    <w:p w:rsidR="00151566" w:rsidRPr="00E54D02" w:rsidRDefault="00151566" w:rsidP="00E54D02">
      <w:pPr>
        <w:spacing w:line="360" w:lineRule="auto"/>
        <w:jc w:val="both"/>
      </w:pPr>
    </w:p>
    <w:sectPr w:rsidR="00151566" w:rsidRPr="00E54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DMOI A+ Gulliver">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Noto Sans">
    <w:panose1 w:val="020B0502040504020204"/>
    <w:charset w:val="EE"/>
    <w:family w:val="swiss"/>
    <w:pitch w:val="variable"/>
    <w:sig w:usb0="E00002FF" w:usb1="00000000"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E1E"/>
    <w:multiLevelType w:val="multilevel"/>
    <w:tmpl w:val="DF3C7DE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5432FD"/>
    <w:multiLevelType w:val="hybridMultilevel"/>
    <w:tmpl w:val="8E06E49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F36075D"/>
    <w:multiLevelType w:val="hybridMultilevel"/>
    <w:tmpl w:val="7958AF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F925893"/>
    <w:multiLevelType w:val="hybridMultilevel"/>
    <w:tmpl w:val="4BF45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CD75E9"/>
    <w:multiLevelType w:val="hybridMultilevel"/>
    <w:tmpl w:val="7994C7F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5" w15:restartNumberingAfterBreak="0">
    <w:nsid w:val="338E01D4"/>
    <w:multiLevelType w:val="hybridMultilevel"/>
    <w:tmpl w:val="C786E0EC"/>
    <w:lvl w:ilvl="0" w:tplc="9C9EE54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DC574AA"/>
    <w:multiLevelType w:val="hybridMultilevel"/>
    <w:tmpl w:val="C9B26240"/>
    <w:lvl w:ilvl="0" w:tplc="0444FDB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EE03E5"/>
    <w:multiLevelType w:val="hybridMultilevel"/>
    <w:tmpl w:val="337C8B44"/>
    <w:lvl w:ilvl="0" w:tplc="0444FDB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184FD9"/>
    <w:multiLevelType w:val="hybridMultilevel"/>
    <w:tmpl w:val="875EAF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9CE0ED3"/>
    <w:multiLevelType w:val="hybridMultilevel"/>
    <w:tmpl w:val="BB424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6F0DB9"/>
    <w:multiLevelType w:val="hybridMultilevel"/>
    <w:tmpl w:val="61BCCF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6B086AF3"/>
    <w:multiLevelType w:val="hybridMultilevel"/>
    <w:tmpl w:val="5BDC865C"/>
    <w:lvl w:ilvl="0" w:tplc="04050001">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12" w15:restartNumberingAfterBreak="0">
    <w:nsid w:val="6D632CA9"/>
    <w:multiLevelType w:val="multilevel"/>
    <w:tmpl w:val="2D98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6"/>
  </w:num>
  <w:num w:numId="6">
    <w:abstractNumId w:val="11"/>
  </w:num>
  <w:num w:numId="7">
    <w:abstractNumId w:val="4"/>
  </w:num>
  <w:num w:numId="8">
    <w:abstractNumId w:val="2"/>
  </w:num>
  <w:num w:numId="9">
    <w:abstractNumId w:val="9"/>
  </w:num>
  <w:num w:numId="10">
    <w:abstractNumId w:val="8"/>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B3"/>
    <w:rsid w:val="00007C74"/>
    <w:rsid w:val="00012C49"/>
    <w:rsid w:val="00015789"/>
    <w:rsid w:val="00020CE8"/>
    <w:rsid w:val="00024FC0"/>
    <w:rsid w:val="000268B9"/>
    <w:rsid w:val="00045AA6"/>
    <w:rsid w:val="0005595D"/>
    <w:rsid w:val="00056DD2"/>
    <w:rsid w:val="00057F70"/>
    <w:rsid w:val="00075DAF"/>
    <w:rsid w:val="0007697B"/>
    <w:rsid w:val="00081BE9"/>
    <w:rsid w:val="000861C3"/>
    <w:rsid w:val="000B7551"/>
    <w:rsid w:val="000D45B5"/>
    <w:rsid w:val="000E3DC9"/>
    <w:rsid w:val="000F2B27"/>
    <w:rsid w:val="000F7D97"/>
    <w:rsid w:val="00106BBC"/>
    <w:rsid w:val="00127422"/>
    <w:rsid w:val="00130B08"/>
    <w:rsid w:val="001453A5"/>
    <w:rsid w:val="00151566"/>
    <w:rsid w:val="0015402D"/>
    <w:rsid w:val="001719FD"/>
    <w:rsid w:val="00171AA3"/>
    <w:rsid w:val="00192E47"/>
    <w:rsid w:val="00196DBC"/>
    <w:rsid w:val="001A061B"/>
    <w:rsid w:val="001C218A"/>
    <w:rsid w:val="001D3F68"/>
    <w:rsid w:val="001E073E"/>
    <w:rsid w:val="001E50F1"/>
    <w:rsid w:val="001F49F1"/>
    <w:rsid w:val="00202BB8"/>
    <w:rsid w:val="00205BB5"/>
    <w:rsid w:val="00210075"/>
    <w:rsid w:val="002136F2"/>
    <w:rsid w:val="00236F9B"/>
    <w:rsid w:val="00241370"/>
    <w:rsid w:val="002714E8"/>
    <w:rsid w:val="00272569"/>
    <w:rsid w:val="00285F74"/>
    <w:rsid w:val="002932CD"/>
    <w:rsid w:val="002B1F90"/>
    <w:rsid w:val="002D55C9"/>
    <w:rsid w:val="002F02BF"/>
    <w:rsid w:val="002F651E"/>
    <w:rsid w:val="00301A64"/>
    <w:rsid w:val="00325648"/>
    <w:rsid w:val="003378DA"/>
    <w:rsid w:val="00363684"/>
    <w:rsid w:val="00366978"/>
    <w:rsid w:val="003671A8"/>
    <w:rsid w:val="0038471E"/>
    <w:rsid w:val="00391B52"/>
    <w:rsid w:val="00393A13"/>
    <w:rsid w:val="003A006E"/>
    <w:rsid w:val="003A0806"/>
    <w:rsid w:val="003A1DD0"/>
    <w:rsid w:val="003C22F6"/>
    <w:rsid w:val="003E5242"/>
    <w:rsid w:val="004015FB"/>
    <w:rsid w:val="004138FB"/>
    <w:rsid w:val="00421507"/>
    <w:rsid w:val="00446DC8"/>
    <w:rsid w:val="004503E3"/>
    <w:rsid w:val="0045197D"/>
    <w:rsid w:val="00454A81"/>
    <w:rsid w:val="0047175A"/>
    <w:rsid w:val="00474614"/>
    <w:rsid w:val="0047639F"/>
    <w:rsid w:val="00485FF9"/>
    <w:rsid w:val="004861C6"/>
    <w:rsid w:val="00495B72"/>
    <w:rsid w:val="004A3917"/>
    <w:rsid w:val="004C5CFF"/>
    <w:rsid w:val="004D615D"/>
    <w:rsid w:val="004E7D05"/>
    <w:rsid w:val="004F15C5"/>
    <w:rsid w:val="004F50C3"/>
    <w:rsid w:val="00523F46"/>
    <w:rsid w:val="0054215D"/>
    <w:rsid w:val="00545436"/>
    <w:rsid w:val="00546009"/>
    <w:rsid w:val="0056103C"/>
    <w:rsid w:val="00565123"/>
    <w:rsid w:val="00571FF5"/>
    <w:rsid w:val="00572EDF"/>
    <w:rsid w:val="00577155"/>
    <w:rsid w:val="005A2B4F"/>
    <w:rsid w:val="005C1791"/>
    <w:rsid w:val="005D4B1D"/>
    <w:rsid w:val="005E4591"/>
    <w:rsid w:val="005F0EA0"/>
    <w:rsid w:val="005F44AB"/>
    <w:rsid w:val="006069BC"/>
    <w:rsid w:val="006204BB"/>
    <w:rsid w:val="00651351"/>
    <w:rsid w:val="00651B95"/>
    <w:rsid w:val="0066214A"/>
    <w:rsid w:val="00663322"/>
    <w:rsid w:val="00692773"/>
    <w:rsid w:val="006A22B5"/>
    <w:rsid w:val="006B1130"/>
    <w:rsid w:val="006B1EBE"/>
    <w:rsid w:val="006C7B2D"/>
    <w:rsid w:val="006E056B"/>
    <w:rsid w:val="006E1B39"/>
    <w:rsid w:val="006E7AA7"/>
    <w:rsid w:val="006F04EE"/>
    <w:rsid w:val="00705069"/>
    <w:rsid w:val="00722578"/>
    <w:rsid w:val="00724EB5"/>
    <w:rsid w:val="00744948"/>
    <w:rsid w:val="00747662"/>
    <w:rsid w:val="00750FCD"/>
    <w:rsid w:val="007522BA"/>
    <w:rsid w:val="00756A93"/>
    <w:rsid w:val="007617DE"/>
    <w:rsid w:val="007653C5"/>
    <w:rsid w:val="00774574"/>
    <w:rsid w:val="00782030"/>
    <w:rsid w:val="0078335E"/>
    <w:rsid w:val="007A220C"/>
    <w:rsid w:val="007A3965"/>
    <w:rsid w:val="007A7E8B"/>
    <w:rsid w:val="007C025B"/>
    <w:rsid w:val="007C3174"/>
    <w:rsid w:val="007D2157"/>
    <w:rsid w:val="007D46CD"/>
    <w:rsid w:val="007D4DD7"/>
    <w:rsid w:val="007D5E6A"/>
    <w:rsid w:val="007E09CB"/>
    <w:rsid w:val="007F0EE3"/>
    <w:rsid w:val="007F36FB"/>
    <w:rsid w:val="007F693C"/>
    <w:rsid w:val="00800EDC"/>
    <w:rsid w:val="008079BB"/>
    <w:rsid w:val="00810755"/>
    <w:rsid w:val="008202ED"/>
    <w:rsid w:val="00835886"/>
    <w:rsid w:val="0084639B"/>
    <w:rsid w:val="008507D0"/>
    <w:rsid w:val="008552B9"/>
    <w:rsid w:val="008561D9"/>
    <w:rsid w:val="008565D4"/>
    <w:rsid w:val="00867305"/>
    <w:rsid w:val="00882022"/>
    <w:rsid w:val="008825E4"/>
    <w:rsid w:val="008906D7"/>
    <w:rsid w:val="008926F2"/>
    <w:rsid w:val="00897BA7"/>
    <w:rsid w:val="008B534A"/>
    <w:rsid w:val="008C4950"/>
    <w:rsid w:val="008D2B3A"/>
    <w:rsid w:val="008E59A4"/>
    <w:rsid w:val="008E7EE0"/>
    <w:rsid w:val="00907C33"/>
    <w:rsid w:val="00940D13"/>
    <w:rsid w:val="00942A81"/>
    <w:rsid w:val="009460EB"/>
    <w:rsid w:val="00956B3D"/>
    <w:rsid w:val="00967854"/>
    <w:rsid w:val="00977F5E"/>
    <w:rsid w:val="009944C3"/>
    <w:rsid w:val="00995853"/>
    <w:rsid w:val="009A0C35"/>
    <w:rsid w:val="009A5A40"/>
    <w:rsid w:val="009B52E9"/>
    <w:rsid w:val="009C4697"/>
    <w:rsid w:val="009C6D8C"/>
    <w:rsid w:val="009D30F1"/>
    <w:rsid w:val="009E2549"/>
    <w:rsid w:val="009E57EE"/>
    <w:rsid w:val="009F1C3E"/>
    <w:rsid w:val="00A0265C"/>
    <w:rsid w:val="00A3223B"/>
    <w:rsid w:val="00A3341F"/>
    <w:rsid w:val="00A435A3"/>
    <w:rsid w:val="00A47884"/>
    <w:rsid w:val="00A47D08"/>
    <w:rsid w:val="00A52254"/>
    <w:rsid w:val="00A6076A"/>
    <w:rsid w:val="00A72CB4"/>
    <w:rsid w:val="00AB3F83"/>
    <w:rsid w:val="00AC7FCA"/>
    <w:rsid w:val="00AD05E0"/>
    <w:rsid w:val="00AF0BAF"/>
    <w:rsid w:val="00B22D4F"/>
    <w:rsid w:val="00B27E2A"/>
    <w:rsid w:val="00B36EB3"/>
    <w:rsid w:val="00B462E9"/>
    <w:rsid w:val="00B539B2"/>
    <w:rsid w:val="00B56F4E"/>
    <w:rsid w:val="00B64DF8"/>
    <w:rsid w:val="00B8171D"/>
    <w:rsid w:val="00B822B5"/>
    <w:rsid w:val="00B84B34"/>
    <w:rsid w:val="00B86D94"/>
    <w:rsid w:val="00B960E9"/>
    <w:rsid w:val="00BA48D0"/>
    <w:rsid w:val="00BA5566"/>
    <w:rsid w:val="00BA6882"/>
    <w:rsid w:val="00BA7D2C"/>
    <w:rsid w:val="00BB269F"/>
    <w:rsid w:val="00BB3C16"/>
    <w:rsid w:val="00BB7CAC"/>
    <w:rsid w:val="00BE5034"/>
    <w:rsid w:val="00BF2B1D"/>
    <w:rsid w:val="00C020A6"/>
    <w:rsid w:val="00C12B5C"/>
    <w:rsid w:val="00C32BC9"/>
    <w:rsid w:val="00C33C5F"/>
    <w:rsid w:val="00C3577A"/>
    <w:rsid w:val="00C52532"/>
    <w:rsid w:val="00C65C66"/>
    <w:rsid w:val="00C82D1F"/>
    <w:rsid w:val="00C848AF"/>
    <w:rsid w:val="00C9447B"/>
    <w:rsid w:val="00C95CBD"/>
    <w:rsid w:val="00CA763E"/>
    <w:rsid w:val="00CB0990"/>
    <w:rsid w:val="00CB6642"/>
    <w:rsid w:val="00CB76CA"/>
    <w:rsid w:val="00CC21FA"/>
    <w:rsid w:val="00CE0D76"/>
    <w:rsid w:val="00CE7FD4"/>
    <w:rsid w:val="00CF54C1"/>
    <w:rsid w:val="00D32815"/>
    <w:rsid w:val="00D43684"/>
    <w:rsid w:val="00D46094"/>
    <w:rsid w:val="00D464FF"/>
    <w:rsid w:val="00D60FF7"/>
    <w:rsid w:val="00D62267"/>
    <w:rsid w:val="00D70982"/>
    <w:rsid w:val="00D74456"/>
    <w:rsid w:val="00D9139F"/>
    <w:rsid w:val="00DD29A1"/>
    <w:rsid w:val="00E156D5"/>
    <w:rsid w:val="00E31BE8"/>
    <w:rsid w:val="00E33F9E"/>
    <w:rsid w:val="00E34DF4"/>
    <w:rsid w:val="00E4434B"/>
    <w:rsid w:val="00E46587"/>
    <w:rsid w:val="00E53CC4"/>
    <w:rsid w:val="00E54D02"/>
    <w:rsid w:val="00E616E1"/>
    <w:rsid w:val="00E61D84"/>
    <w:rsid w:val="00E63E90"/>
    <w:rsid w:val="00E7042B"/>
    <w:rsid w:val="00E742B0"/>
    <w:rsid w:val="00E9550B"/>
    <w:rsid w:val="00E9706E"/>
    <w:rsid w:val="00EA1535"/>
    <w:rsid w:val="00EA1FDA"/>
    <w:rsid w:val="00EA2E48"/>
    <w:rsid w:val="00EC028B"/>
    <w:rsid w:val="00EE49C2"/>
    <w:rsid w:val="00EF34DF"/>
    <w:rsid w:val="00F01E5B"/>
    <w:rsid w:val="00F11EDC"/>
    <w:rsid w:val="00F3289A"/>
    <w:rsid w:val="00F3549C"/>
    <w:rsid w:val="00F40A40"/>
    <w:rsid w:val="00F41C54"/>
    <w:rsid w:val="00F47078"/>
    <w:rsid w:val="00F60024"/>
    <w:rsid w:val="00F75B30"/>
    <w:rsid w:val="00F76ABF"/>
    <w:rsid w:val="00F772EA"/>
    <w:rsid w:val="00F970CB"/>
    <w:rsid w:val="00FC20C8"/>
    <w:rsid w:val="00FC7B51"/>
    <w:rsid w:val="00FE0E91"/>
    <w:rsid w:val="00FF6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A5DF"/>
  <w15:chartTrackingRefBased/>
  <w15:docId w15:val="{9905F91B-E690-4813-BFD3-54394E8B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2" w:unhideWhenUsed="1"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609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77155"/>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dpis2">
    <w:name w:val="heading 2"/>
    <w:basedOn w:val="Normln"/>
    <w:link w:val="Nadpis2Char"/>
    <w:uiPriority w:val="9"/>
    <w:qFormat/>
    <w:rsid w:val="00B36EB3"/>
    <w:pPr>
      <w:spacing w:before="100" w:beforeAutospacing="1" w:after="100" w:afterAutospacing="1"/>
      <w:outlineLvl w:val="1"/>
    </w:pPr>
    <w:rPr>
      <w:b/>
      <w:bCs/>
      <w:sz w:val="36"/>
      <w:szCs w:val="36"/>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36EB3"/>
    <w:rPr>
      <w:rFonts w:ascii="Times New Roman" w:eastAsia="Times New Roman" w:hAnsi="Times New Roman" w:cs="Times New Roman"/>
      <w:b/>
      <w:bCs/>
      <w:sz w:val="36"/>
      <w:szCs w:val="36"/>
      <w:lang w:val="en-GB" w:eastAsia="en-GB"/>
    </w:rPr>
  </w:style>
  <w:style w:type="paragraph" w:styleId="Normlnweb">
    <w:name w:val="Normal (Web)"/>
    <w:basedOn w:val="Normln"/>
    <w:uiPriority w:val="99"/>
    <w:unhideWhenUsed/>
    <w:rsid w:val="00B36EB3"/>
    <w:pPr>
      <w:spacing w:before="100" w:beforeAutospacing="1" w:after="100" w:afterAutospacing="1"/>
    </w:pPr>
    <w:rPr>
      <w:lang w:val="en-GB" w:eastAsia="en-GB"/>
    </w:rPr>
  </w:style>
  <w:style w:type="character" w:styleId="Hypertextovodkaz">
    <w:name w:val="Hyperlink"/>
    <w:basedOn w:val="Standardnpsmoodstavce"/>
    <w:uiPriority w:val="99"/>
    <w:unhideWhenUsed/>
    <w:rsid w:val="00E4434B"/>
    <w:rPr>
      <w:color w:val="0000FF"/>
      <w:u w:val="single"/>
    </w:rPr>
  </w:style>
  <w:style w:type="character" w:customStyle="1" w:styleId="jlqj4b">
    <w:name w:val="jlqj4b"/>
    <w:basedOn w:val="Standardnpsmoodstavce"/>
    <w:rsid w:val="005F0EA0"/>
  </w:style>
  <w:style w:type="paragraph" w:styleId="Odstavecseseznamem">
    <w:name w:val="List Paragraph"/>
    <w:basedOn w:val="Normln"/>
    <w:uiPriority w:val="34"/>
    <w:qFormat/>
    <w:rsid w:val="007E09C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uiPriority w:val="9"/>
    <w:rsid w:val="00577155"/>
    <w:rPr>
      <w:rFonts w:asciiTheme="majorHAnsi" w:eastAsiaTheme="majorEastAsia" w:hAnsiTheme="majorHAnsi" w:cstheme="majorBidi"/>
      <w:color w:val="2E74B5" w:themeColor="accent1" w:themeShade="BF"/>
      <w:sz w:val="32"/>
      <w:szCs w:val="32"/>
    </w:rPr>
  </w:style>
  <w:style w:type="character" w:styleId="Zdraznn">
    <w:name w:val="Emphasis"/>
    <w:basedOn w:val="Standardnpsmoodstavce"/>
    <w:uiPriority w:val="20"/>
    <w:qFormat/>
    <w:rsid w:val="00577155"/>
    <w:rPr>
      <w:i/>
      <w:iCs/>
    </w:rPr>
  </w:style>
  <w:style w:type="paragraph" w:customStyle="1" w:styleId="References">
    <w:name w:val="References"/>
    <w:basedOn w:val="Normln"/>
    <w:link w:val="ReferencesChar"/>
    <w:qFormat/>
    <w:rsid w:val="00577155"/>
    <w:pPr>
      <w:spacing w:line="259" w:lineRule="auto"/>
      <w:ind w:left="284" w:hanging="284"/>
      <w:jc w:val="both"/>
    </w:pPr>
    <w:rPr>
      <w:rFonts w:eastAsia="Calibri"/>
      <w:bCs/>
      <w:sz w:val="18"/>
      <w:szCs w:val="18"/>
      <w:lang w:eastAsia="en-US"/>
    </w:rPr>
  </w:style>
  <w:style w:type="character" w:customStyle="1" w:styleId="ReferencesChar">
    <w:name w:val="References Char"/>
    <w:basedOn w:val="Standardnpsmoodstavce"/>
    <w:link w:val="References"/>
    <w:rsid w:val="00577155"/>
    <w:rPr>
      <w:rFonts w:ascii="Times New Roman" w:eastAsia="Calibri" w:hAnsi="Times New Roman" w:cs="Times New Roman"/>
      <w:bCs/>
      <w:sz w:val="18"/>
      <w:szCs w:val="18"/>
    </w:rPr>
  </w:style>
  <w:style w:type="paragraph" w:styleId="Titulek">
    <w:name w:val="caption"/>
    <w:basedOn w:val="Normln"/>
    <w:next w:val="Normln"/>
    <w:unhideWhenUsed/>
    <w:qFormat/>
    <w:rsid w:val="00907C33"/>
    <w:pPr>
      <w:spacing w:after="200"/>
      <w:ind w:firstLine="709"/>
      <w:jc w:val="both"/>
    </w:pPr>
    <w:rPr>
      <w:i/>
      <w:iCs/>
      <w:color w:val="44546A" w:themeColor="text2"/>
      <w:sz w:val="18"/>
      <w:szCs w:val="18"/>
    </w:rPr>
  </w:style>
  <w:style w:type="paragraph" w:styleId="Zkladntext">
    <w:name w:val="Body Text"/>
    <w:basedOn w:val="Normln"/>
    <w:link w:val="ZkladntextChar"/>
    <w:uiPriority w:val="99"/>
    <w:semiHidden/>
    <w:unhideWhenUsed/>
    <w:rsid w:val="00202BB8"/>
    <w:pPr>
      <w:spacing w:after="120" w:line="259" w:lineRule="auto"/>
    </w:pPr>
    <w:rPr>
      <w:rFonts w:asciiTheme="minorHAnsi" w:eastAsiaTheme="minorHAnsi" w:hAnsiTheme="minorHAnsi" w:cstheme="minorBidi"/>
      <w:sz w:val="22"/>
      <w:szCs w:val="22"/>
      <w:lang w:eastAsia="en-US"/>
    </w:rPr>
  </w:style>
  <w:style w:type="character" w:customStyle="1" w:styleId="ZkladntextChar">
    <w:name w:val="Základní text Char"/>
    <w:basedOn w:val="Standardnpsmoodstavce"/>
    <w:link w:val="Zkladntext"/>
    <w:uiPriority w:val="99"/>
    <w:semiHidden/>
    <w:rsid w:val="00202BB8"/>
  </w:style>
  <w:style w:type="paragraph" w:styleId="Zkladntext-prvnodsazen">
    <w:name w:val="Body Text First Indent"/>
    <w:basedOn w:val="Zkladntext"/>
    <w:link w:val="Zkladntext-prvnodsazenChar"/>
    <w:uiPriority w:val="2"/>
    <w:qFormat/>
    <w:rsid w:val="00202BB8"/>
    <w:pPr>
      <w:spacing w:after="0" w:line="290" w:lineRule="atLeast"/>
      <w:ind w:firstLine="357"/>
      <w:jc w:val="both"/>
    </w:pPr>
    <w:rPr>
      <w:sz w:val="24"/>
      <w:szCs w:val="24"/>
      <w14:ligatures w14:val="standardContextual"/>
    </w:rPr>
  </w:style>
  <w:style w:type="character" w:customStyle="1" w:styleId="Zkladntext-prvnodsazenChar">
    <w:name w:val="Základní text - první odsazený Char"/>
    <w:basedOn w:val="ZkladntextChar"/>
    <w:link w:val="Zkladntext-prvnodsazen"/>
    <w:uiPriority w:val="2"/>
    <w:rsid w:val="00202BB8"/>
    <w:rPr>
      <w:sz w:val="24"/>
      <w:szCs w:val="24"/>
      <w14:ligatures w14:val="standardContextual"/>
    </w:rPr>
  </w:style>
  <w:style w:type="character" w:customStyle="1" w:styleId="html-italic">
    <w:name w:val="html-italic"/>
    <w:basedOn w:val="Standardnpsmoodstavce"/>
    <w:rsid w:val="00015789"/>
  </w:style>
  <w:style w:type="paragraph" w:customStyle="1" w:styleId="Default">
    <w:name w:val="Default"/>
    <w:rsid w:val="00075DAF"/>
    <w:pPr>
      <w:autoSpaceDE w:val="0"/>
      <w:autoSpaceDN w:val="0"/>
      <w:adjustRightInd w:val="0"/>
      <w:spacing w:after="0" w:line="240" w:lineRule="auto"/>
    </w:pPr>
    <w:rPr>
      <w:rFonts w:ascii="EDMOI A+ Gulliver" w:hAnsi="EDMOI A+ Gulliver" w:cs="EDMOI A+ Gulliver"/>
      <w:color w:val="000000"/>
      <w:sz w:val="24"/>
      <w:szCs w:val="24"/>
    </w:rPr>
  </w:style>
  <w:style w:type="paragraph" w:styleId="Zkladntext2">
    <w:name w:val="Body Text 2"/>
    <w:basedOn w:val="Normln"/>
    <w:link w:val="Zkladntext2Char"/>
    <w:rsid w:val="008202ED"/>
    <w:pPr>
      <w:spacing w:after="120" w:line="480" w:lineRule="auto"/>
    </w:pPr>
    <w:rPr>
      <w:lang w:val="x-none" w:eastAsia="x-none"/>
    </w:rPr>
  </w:style>
  <w:style w:type="character" w:customStyle="1" w:styleId="Zkladntext2Char">
    <w:name w:val="Základní text 2 Char"/>
    <w:basedOn w:val="Standardnpsmoodstavce"/>
    <w:link w:val="Zkladntext2"/>
    <w:rsid w:val="008202ED"/>
    <w:rPr>
      <w:rFonts w:ascii="Times New Roman" w:eastAsia="Times New Roman" w:hAnsi="Times New Roman" w:cs="Times New Roman"/>
      <w:sz w:val="24"/>
      <w:szCs w:val="24"/>
      <w:lang w:val="x-none" w:eastAsia="x-none"/>
    </w:rPr>
  </w:style>
  <w:style w:type="character" w:customStyle="1" w:styleId="hithilite">
    <w:name w:val="hithilite"/>
    <w:basedOn w:val="Standardnpsmoodstavce"/>
    <w:rsid w:val="00CC2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5307">
      <w:bodyDiv w:val="1"/>
      <w:marLeft w:val="0"/>
      <w:marRight w:val="0"/>
      <w:marTop w:val="0"/>
      <w:marBottom w:val="0"/>
      <w:divBdr>
        <w:top w:val="none" w:sz="0" w:space="0" w:color="auto"/>
        <w:left w:val="none" w:sz="0" w:space="0" w:color="auto"/>
        <w:bottom w:val="none" w:sz="0" w:space="0" w:color="auto"/>
        <w:right w:val="none" w:sz="0" w:space="0" w:color="auto"/>
      </w:divBdr>
      <w:divsChild>
        <w:div w:id="629944297">
          <w:marLeft w:val="480"/>
          <w:marRight w:val="0"/>
          <w:marTop w:val="0"/>
          <w:marBottom w:val="0"/>
          <w:divBdr>
            <w:top w:val="none" w:sz="0" w:space="0" w:color="auto"/>
            <w:left w:val="none" w:sz="0" w:space="0" w:color="auto"/>
            <w:bottom w:val="none" w:sz="0" w:space="0" w:color="auto"/>
            <w:right w:val="none" w:sz="0" w:space="0" w:color="auto"/>
          </w:divBdr>
          <w:divsChild>
            <w:div w:id="1862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0198">
      <w:bodyDiv w:val="1"/>
      <w:marLeft w:val="0"/>
      <w:marRight w:val="0"/>
      <w:marTop w:val="0"/>
      <w:marBottom w:val="0"/>
      <w:divBdr>
        <w:top w:val="none" w:sz="0" w:space="0" w:color="auto"/>
        <w:left w:val="none" w:sz="0" w:space="0" w:color="auto"/>
        <w:bottom w:val="none" w:sz="0" w:space="0" w:color="auto"/>
        <w:right w:val="none" w:sz="0" w:space="0" w:color="auto"/>
      </w:divBdr>
      <w:divsChild>
        <w:div w:id="1158420418">
          <w:marLeft w:val="480"/>
          <w:marRight w:val="0"/>
          <w:marTop w:val="0"/>
          <w:marBottom w:val="0"/>
          <w:divBdr>
            <w:top w:val="none" w:sz="0" w:space="0" w:color="auto"/>
            <w:left w:val="none" w:sz="0" w:space="0" w:color="auto"/>
            <w:bottom w:val="none" w:sz="0" w:space="0" w:color="auto"/>
            <w:right w:val="none" w:sz="0" w:space="0" w:color="auto"/>
          </w:divBdr>
          <w:divsChild>
            <w:div w:id="13724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6316">
      <w:bodyDiv w:val="1"/>
      <w:marLeft w:val="0"/>
      <w:marRight w:val="0"/>
      <w:marTop w:val="0"/>
      <w:marBottom w:val="0"/>
      <w:divBdr>
        <w:top w:val="none" w:sz="0" w:space="0" w:color="auto"/>
        <w:left w:val="none" w:sz="0" w:space="0" w:color="auto"/>
        <w:bottom w:val="none" w:sz="0" w:space="0" w:color="auto"/>
        <w:right w:val="none" w:sz="0" w:space="0" w:color="auto"/>
      </w:divBdr>
      <w:divsChild>
        <w:div w:id="850222584">
          <w:marLeft w:val="480"/>
          <w:marRight w:val="0"/>
          <w:marTop w:val="0"/>
          <w:marBottom w:val="0"/>
          <w:divBdr>
            <w:top w:val="none" w:sz="0" w:space="0" w:color="auto"/>
            <w:left w:val="none" w:sz="0" w:space="0" w:color="auto"/>
            <w:bottom w:val="none" w:sz="0" w:space="0" w:color="auto"/>
            <w:right w:val="none" w:sz="0" w:space="0" w:color="auto"/>
          </w:divBdr>
          <w:divsChild>
            <w:div w:id="1197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9393">
      <w:bodyDiv w:val="1"/>
      <w:marLeft w:val="0"/>
      <w:marRight w:val="0"/>
      <w:marTop w:val="0"/>
      <w:marBottom w:val="0"/>
      <w:divBdr>
        <w:top w:val="none" w:sz="0" w:space="0" w:color="auto"/>
        <w:left w:val="none" w:sz="0" w:space="0" w:color="auto"/>
        <w:bottom w:val="none" w:sz="0" w:space="0" w:color="auto"/>
        <w:right w:val="none" w:sz="0" w:space="0" w:color="auto"/>
      </w:divBdr>
    </w:div>
    <w:div w:id="112094024">
      <w:bodyDiv w:val="1"/>
      <w:marLeft w:val="0"/>
      <w:marRight w:val="0"/>
      <w:marTop w:val="0"/>
      <w:marBottom w:val="0"/>
      <w:divBdr>
        <w:top w:val="none" w:sz="0" w:space="0" w:color="auto"/>
        <w:left w:val="none" w:sz="0" w:space="0" w:color="auto"/>
        <w:bottom w:val="none" w:sz="0" w:space="0" w:color="auto"/>
        <w:right w:val="none" w:sz="0" w:space="0" w:color="auto"/>
      </w:divBdr>
      <w:divsChild>
        <w:div w:id="1686975872">
          <w:marLeft w:val="480"/>
          <w:marRight w:val="0"/>
          <w:marTop w:val="0"/>
          <w:marBottom w:val="0"/>
          <w:divBdr>
            <w:top w:val="none" w:sz="0" w:space="0" w:color="auto"/>
            <w:left w:val="none" w:sz="0" w:space="0" w:color="auto"/>
            <w:bottom w:val="none" w:sz="0" w:space="0" w:color="auto"/>
            <w:right w:val="none" w:sz="0" w:space="0" w:color="auto"/>
          </w:divBdr>
          <w:divsChild>
            <w:div w:id="1278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027">
      <w:bodyDiv w:val="1"/>
      <w:marLeft w:val="0"/>
      <w:marRight w:val="0"/>
      <w:marTop w:val="0"/>
      <w:marBottom w:val="0"/>
      <w:divBdr>
        <w:top w:val="none" w:sz="0" w:space="0" w:color="auto"/>
        <w:left w:val="none" w:sz="0" w:space="0" w:color="auto"/>
        <w:bottom w:val="none" w:sz="0" w:space="0" w:color="auto"/>
        <w:right w:val="none" w:sz="0" w:space="0" w:color="auto"/>
      </w:divBdr>
      <w:divsChild>
        <w:div w:id="1991858159">
          <w:marLeft w:val="480"/>
          <w:marRight w:val="0"/>
          <w:marTop w:val="0"/>
          <w:marBottom w:val="0"/>
          <w:divBdr>
            <w:top w:val="none" w:sz="0" w:space="0" w:color="auto"/>
            <w:left w:val="none" w:sz="0" w:space="0" w:color="auto"/>
            <w:bottom w:val="none" w:sz="0" w:space="0" w:color="auto"/>
            <w:right w:val="none" w:sz="0" w:space="0" w:color="auto"/>
          </w:divBdr>
          <w:divsChild>
            <w:div w:id="15632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9789">
      <w:bodyDiv w:val="1"/>
      <w:marLeft w:val="0"/>
      <w:marRight w:val="0"/>
      <w:marTop w:val="0"/>
      <w:marBottom w:val="0"/>
      <w:divBdr>
        <w:top w:val="none" w:sz="0" w:space="0" w:color="auto"/>
        <w:left w:val="none" w:sz="0" w:space="0" w:color="auto"/>
        <w:bottom w:val="none" w:sz="0" w:space="0" w:color="auto"/>
        <w:right w:val="none" w:sz="0" w:space="0" w:color="auto"/>
      </w:divBdr>
      <w:divsChild>
        <w:div w:id="1133789005">
          <w:marLeft w:val="480"/>
          <w:marRight w:val="0"/>
          <w:marTop w:val="0"/>
          <w:marBottom w:val="0"/>
          <w:divBdr>
            <w:top w:val="none" w:sz="0" w:space="0" w:color="auto"/>
            <w:left w:val="none" w:sz="0" w:space="0" w:color="auto"/>
            <w:bottom w:val="none" w:sz="0" w:space="0" w:color="auto"/>
            <w:right w:val="none" w:sz="0" w:space="0" w:color="auto"/>
          </w:divBdr>
          <w:divsChild>
            <w:div w:id="3471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9549">
      <w:bodyDiv w:val="1"/>
      <w:marLeft w:val="0"/>
      <w:marRight w:val="0"/>
      <w:marTop w:val="0"/>
      <w:marBottom w:val="0"/>
      <w:divBdr>
        <w:top w:val="none" w:sz="0" w:space="0" w:color="auto"/>
        <w:left w:val="none" w:sz="0" w:space="0" w:color="auto"/>
        <w:bottom w:val="none" w:sz="0" w:space="0" w:color="auto"/>
        <w:right w:val="none" w:sz="0" w:space="0" w:color="auto"/>
      </w:divBdr>
      <w:divsChild>
        <w:div w:id="522715630">
          <w:marLeft w:val="480"/>
          <w:marRight w:val="0"/>
          <w:marTop w:val="0"/>
          <w:marBottom w:val="0"/>
          <w:divBdr>
            <w:top w:val="none" w:sz="0" w:space="0" w:color="auto"/>
            <w:left w:val="none" w:sz="0" w:space="0" w:color="auto"/>
            <w:bottom w:val="none" w:sz="0" w:space="0" w:color="auto"/>
            <w:right w:val="none" w:sz="0" w:space="0" w:color="auto"/>
          </w:divBdr>
          <w:divsChild>
            <w:div w:id="2713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10839">
      <w:bodyDiv w:val="1"/>
      <w:marLeft w:val="0"/>
      <w:marRight w:val="0"/>
      <w:marTop w:val="0"/>
      <w:marBottom w:val="0"/>
      <w:divBdr>
        <w:top w:val="none" w:sz="0" w:space="0" w:color="auto"/>
        <w:left w:val="none" w:sz="0" w:space="0" w:color="auto"/>
        <w:bottom w:val="none" w:sz="0" w:space="0" w:color="auto"/>
        <w:right w:val="none" w:sz="0" w:space="0" w:color="auto"/>
      </w:divBdr>
      <w:divsChild>
        <w:div w:id="1138838240">
          <w:marLeft w:val="480"/>
          <w:marRight w:val="0"/>
          <w:marTop w:val="0"/>
          <w:marBottom w:val="0"/>
          <w:divBdr>
            <w:top w:val="none" w:sz="0" w:space="0" w:color="auto"/>
            <w:left w:val="none" w:sz="0" w:space="0" w:color="auto"/>
            <w:bottom w:val="none" w:sz="0" w:space="0" w:color="auto"/>
            <w:right w:val="none" w:sz="0" w:space="0" w:color="auto"/>
          </w:divBdr>
          <w:divsChild>
            <w:div w:id="17019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4207">
      <w:bodyDiv w:val="1"/>
      <w:marLeft w:val="0"/>
      <w:marRight w:val="0"/>
      <w:marTop w:val="0"/>
      <w:marBottom w:val="0"/>
      <w:divBdr>
        <w:top w:val="none" w:sz="0" w:space="0" w:color="auto"/>
        <w:left w:val="none" w:sz="0" w:space="0" w:color="auto"/>
        <w:bottom w:val="none" w:sz="0" w:space="0" w:color="auto"/>
        <w:right w:val="none" w:sz="0" w:space="0" w:color="auto"/>
      </w:divBdr>
      <w:divsChild>
        <w:div w:id="1729183398">
          <w:marLeft w:val="480"/>
          <w:marRight w:val="0"/>
          <w:marTop w:val="0"/>
          <w:marBottom w:val="0"/>
          <w:divBdr>
            <w:top w:val="none" w:sz="0" w:space="0" w:color="auto"/>
            <w:left w:val="none" w:sz="0" w:space="0" w:color="auto"/>
            <w:bottom w:val="none" w:sz="0" w:space="0" w:color="auto"/>
            <w:right w:val="none" w:sz="0" w:space="0" w:color="auto"/>
          </w:divBdr>
          <w:divsChild>
            <w:div w:id="19951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8639">
      <w:bodyDiv w:val="1"/>
      <w:marLeft w:val="0"/>
      <w:marRight w:val="0"/>
      <w:marTop w:val="0"/>
      <w:marBottom w:val="0"/>
      <w:divBdr>
        <w:top w:val="none" w:sz="0" w:space="0" w:color="auto"/>
        <w:left w:val="none" w:sz="0" w:space="0" w:color="auto"/>
        <w:bottom w:val="none" w:sz="0" w:space="0" w:color="auto"/>
        <w:right w:val="none" w:sz="0" w:space="0" w:color="auto"/>
      </w:divBdr>
      <w:divsChild>
        <w:div w:id="182979101">
          <w:marLeft w:val="480"/>
          <w:marRight w:val="0"/>
          <w:marTop w:val="0"/>
          <w:marBottom w:val="0"/>
          <w:divBdr>
            <w:top w:val="none" w:sz="0" w:space="0" w:color="auto"/>
            <w:left w:val="none" w:sz="0" w:space="0" w:color="auto"/>
            <w:bottom w:val="none" w:sz="0" w:space="0" w:color="auto"/>
            <w:right w:val="none" w:sz="0" w:space="0" w:color="auto"/>
          </w:divBdr>
          <w:divsChild>
            <w:div w:id="7813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3788">
      <w:bodyDiv w:val="1"/>
      <w:marLeft w:val="0"/>
      <w:marRight w:val="0"/>
      <w:marTop w:val="0"/>
      <w:marBottom w:val="0"/>
      <w:divBdr>
        <w:top w:val="none" w:sz="0" w:space="0" w:color="auto"/>
        <w:left w:val="none" w:sz="0" w:space="0" w:color="auto"/>
        <w:bottom w:val="none" w:sz="0" w:space="0" w:color="auto"/>
        <w:right w:val="none" w:sz="0" w:space="0" w:color="auto"/>
      </w:divBdr>
      <w:divsChild>
        <w:div w:id="263002888">
          <w:marLeft w:val="480"/>
          <w:marRight w:val="0"/>
          <w:marTop w:val="0"/>
          <w:marBottom w:val="0"/>
          <w:divBdr>
            <w:top w:val="none" w:sz="0" w:space="0" w:color="auto"/>
            <w:left w:val="none" w:sz="0" w:space="0" w:color="auto"/>
            <w:bottom w:val="none" w:sz="0" w:space="0" w:color="auto"/>
            <w:right w:val="none" w:sz="0" w:space="0" w:color="auto"/>
          </w:divBdr>
          <w:divsChild>
            <w:div w:id="819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0791">
      <w:bodyDiv w:val="1"/>
      <w:marLeft w:val="0"/>
      <w:marRight w:val="0"/>
      <w:marTop w:val="0"/>
      <w:marBottom w:val="0"/>
      <w:divBdr>
        <w:top w:val="none" w:sz="0" w:space="0" w:color="auto"/>
        <w:left w:val="none" w:sz="0" w:space="0" w:color="auto"/>
        <w:bottom w:val="none" w:sz="0" w:space="0" w:color="auto"/>
        <w:right w:val="none" w:sz="0" w:space="0" w:color="auto"/>
      </w:divBdr>
      <w:divsChild>
        <w:div w:id="1650206409">
          <w:marLeft w:val="480"/>
          <w:marRight w:val="0"/>
          <w:marTop w:val="0"/>
          <w:marBottom w:val="0"/>
          <w:divBdr>
            <w:top w:val="none" w:sz="0" w:space="0" w:color="auto"/>
            <w:left w:val="none" w:sz="0" w:space="0" w:color="auto"/>
            <w:bottom w:val="none" w:sz="0" w:space="0" w:color="auto"/>
            <w:right w:val="none" w:sz="0" w:space="0" w:color="auto"/>
          </w:divBdr>
          <w:divsChild>
            <w:div w:id="1466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4879">
      <w:bodyDiv w:val="1"/>
      <w:marLeft w:val="0"/>
      <w:marRight w:val="0"/>
      <w:marTop w:val="0"/>
      <w:marBottom w:val="0"/>
      <w:divBdr>
        <w:top w:val="none" w:sz="0" w:space="0" w:color="auto"/>
        <w:left w:val="none" w:sz="0" w:space="0" w:color="auto"/>
        <w:bottom w:val="none" w:sz="0" w:space="0" w:color="auto"/>
        <w:right w:val="none" w:sz="0" w:space="0" w:color="auto"/>
      </w:divBdr>
      <w:divsChild>
        <w:div w:id="2044288861">
          <w:marLeft w:val="480"/>
          <w:marRight w:val="0"/>
          <w:marTop w:val="0"/>
          <w:marBottom w:val="0"/>
          <w:divBdr>
            <w:top w:val="none" w:sz="0" w:space="0" w:color="auto"/>
            <w:left w:val="none" w:sz="0" w:space="0" w:color="auto"/>
            <w:bottom w:val="none" w:sz="0" w:space="0" w:color="auto"/>
            <w:right w:val="none" w:sz="0" w:space="0" w:color="auto"/>
          </w:divBdr>
          <w:divsChild>
            <w:div w:id="13167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7100">
      <w:bodyDiv w:val="1"/>
      <w:marLeft w:val="0"/>
      <w:marRight w:val="0"/>
      <w:marTop w:val="0"/>
      <w:marBottom w:val="0"/>
      <w:divBdr>
        <w:top w:val="none" w:sz="0" w:space="0" w:color="auto"/>
        <w:left w:val="none" w:sz="0" w:space="0" w:color="auto"/>
        <w:bottom w:val="none" w:sz="0" w:space="0" w:color="auto"/>
        <w:right w:val="none" w:sz="0" w:space="0" w:color="auto"/>
      </w:divBdr>
    </w:div>
    <w:div w:id="523904707">
      <w:bodyDiv w:val="1"/>
      <w:marLeft w:val="0"/>
      <w:marRight w:val="0"/>
      <w:marTop w:val="0"/>
      <w:marBottom w:val="0"/>
      <w:divBdr>
        <w:top w:val="none" w:sz="0" w:space="0" w:color="auto"/>
        <w:left w:val="none" w:sz="0" w:space="0" w:color="auto"/>
        <w:bottom w:val="none" w:sz="0" w:space="0" w:color="auto"/>
        <w:right w:val="none" w:sz="0" w:space="0" w:color="auto"/>
      </w:divBdr>
      <w:divsChild>
        <w:div w:id="1597203207">
          <w:marLeft w:val="480"/>
          <w:marRight w:val="0"/>
          <w:marTop w:val="0"/>
          <w:marBottom w:val="0"/>
          <w:divBdr>
            <w:top w:val="none" w:sz="0" w:space="0" w:color="auto"/>
            <w:left w:val="none" w:sz="0" w:space="0" w:color="auto"/>
            <w:bottom w:val="none" w:sz="0" w:space="0" w:color="auto"/>
            <w:right w:val="none" w:sz="0" w:space="0" w:color="auto"/>
          </w:divBdr>
          <w:divsChild>
            <w:div w:id="13337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7167">
      <w:bodyDiv w:val="1"/>
      <w:marLeft w:val="0"/>
      <w:marRight w:val="0"/>
      <w:marTop w:val="0"/>
      <w:marBottom w:val="0"/>
      <w:divBdr>
        <w:top w:val="none" w:sz="0" w:space="0" w:color="auto"/>
        <w:left w:val="none" w:sz="0" w:space="0" w:color="auto"/>
        <w:bottom w:val="none" w:sz="0" w:space="0" w:color="auto"/>
        <w:right w:val="none" w:sz="0" w:space="0" w:color="auto"/>
      </w:divBdr>
      <w:divsChild>
        <w:div w:id="73478595">
          <w:marLeft w:val="480"/>
          <w:marRight w:val="0"/>
          <w:marTop w:val="0"/>
          <w:marBottom w:val="0"/>
          <w:divBdr>
            <w:top w:val="none" w:sz="0" w:space="0" w:color="auto"/>
            <w:left w:val="none" w:sz="0" w:space="0" w:color="auto"/>
            <w:bottom w:val="none" w:sz="0" w:space="0" w:color="auto"/>
            <w:right w:val="none" w:sz="0" w:space="0" w:color="auto"/>
          </w:divBdr>
          <w:divsChild>
            <w:div w:id="4871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4292">
      <w:bodyDiv w:val="1"/>
      <w:marLeft w:val="0"/>
      <w:marRight w:val="0"/>
      <w:marTop w:val="0"/>
      <w:marBottom w:val="0"/>
      <w:divBdr>
        <w:top w:val="none" w:sz="0" w:space="0" w:color="auto"/>
        <w:left w:val="none" w:sz="0" w:space="0" w:color="auto"/>
        <w:bottom w:val="none" w:sz="0" w:space="0" w:color="auto"/>
        <w:right w:val="none" w:sz="0" w:space="0" w:color="auto"/>
      </w:divBdr>
      <w:divsChild>
        <w:div w:id="722487449">
          <w:marLeft w:val="480"/>
          <w:marRight w:val="0"/>
          <w:marTop w:val="0"/>
          <w:marBottom w:val="0"/>
          <w:divBdr>
            <w:top w:val="none" w:sz="0" w:space="0" w:color="auto"/>
            <w:left w:val="none" w:sz="0" w:space="0" w:color="auto"/>
            <w:bottom w:val="none" w:sz="0" w:space="0" w:color="auto"/>
            <w:right w:val="none" w:sz="0" w:space="0" w:color="auto"/>
          </w:divBdr>
          <w:divsChild>
            <w:div w:id="7818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70120">
      <w:bodyDiv w:val="1"/>
      <w:marLeft w:val="0"/>
      <w:marRight w:val="0"/>
      <w:marTop w:val="0"/>
      <w:marBottom w:val="0"/>
      <w:divBdr>
        <w:top w:val="none" w:sz="0" w:space="0" w:color="auto"/>
        <w:left w:val="none" w:sz="0" w:space="0" w:color="auto"/>
        <w:bottom w:val="none" w:sz="0" w:space="0" w:color="auto"/>
        <w:right w:val="none" w:sz="0" w:space="0" w:color="auto"/>
      </w:divBdr>
      <w:divsChild>
        <w:div w:id="453063164">
          <w:marLeft w:val="480"/>
          <w:marRight w:val="0"/>
          <w:marTop w:val="0"/>
          <w:marBottom w:val="0"/>
          <w:divBdr>
            <w:top w:val="none" w:sz="0" w:space="0" w:color="auto"/>
            <w:left w:val="none" w:sz="0" w:space="0" w:color="auto"/>
            <w:bottom w:val="none" w:sz="0" w:space="0" w:color="auto"/>
            <w:right w:val="none" w:sz="0" w:space="0" w:color="auto"/>
          </w:divBdr>
          <w:divsChild>
            <w:div w:id="15013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4539">
      <w:bodyDiv w:val="1"/>
      <w:marLeft w:val="0"/>
      <w:marRight w:val="0"/>
      <w:marTop w:val="0"/>
      <w:marBottom w:val="0"/>
      <w:divBdr>
        <w:top w:val="none" w:sz="0" w:space="0" w:color="auto"/>
        <w:left w:val="none" w:sz="0" w:space="0" w:color="auto"/>
        <w:bottom w:val="none" w:sz="0" w:space="0" w:color="auto"/>
        <w:right w:val="none" w:sz="0" w:space="0" w:color="auto"/>
      </w:divBdr>
      <w:divsChild>
        <w:div w:id="1625430743">
          <w:marLeft w:val="480"/>
          <w:marRight w:val="0"/>
          <w:marTop w:val="0"/>
          <w:marBottom w:val="0"/>
          <w:divBdr>
            <w:top w:val="none" w:sz="0" w:space="0" w:color="auto"/>
            <w:left w:val="none" w:sz="0" w:space="0" w:color="auto"/>
            <w:bottom w:val="none" w:sz="0" w:space="0" w:color="auto"/>
            <w:right w:val="none" w:sz="0" w:space="0" w:color="auto"/>
          </w:divBdr>
          <w:divsChild>
            <w:div w:id="11733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8249">
      <w:bodyDiv w:val="1"/>
      <w:marLeft w:val="0"/>
      <w:marRight w:val="0"/>
      <w:marTop w:val="0"/>
      <w:marBottom w:val="0"/>
      <w:divBdr>
        <w:top w:val="none" w:sz="0" w:space="0" w:color="auto"/>
        <w:left w:val="none" w:sz="0" w:space="0" w:color="auto"/>
        <w:bottom w:val="none" w:sz="0" w:space="0" w:color="auto"/>
        <w:right w:val="none" w:sz="0" w:space="0" w:color="auto"/>
      </w:divBdr>
      <w:divsChild>
        <w:div w:id="458887988">
          <w:marLeft w:val="480"/>
          <w:marRight w:val="0"/>
          <w:marTop w:val="0"/>
          <w:marBottom w:val="0"/>
          <w:divBdr>
            <w:top w:val="none" w:sz="0" w:space="0" w:color="auto"/>
            <w:left w:val="none" w:sz="0" w:space="0" w:color="auto"/>
            <w:bottom w:val="none" w:sz="0" w:space="0" w:color="auto"/>
            <w:right w:val="none" w:sz="0" w:space="0" w:color="auto"/>
          </w:divBdr>
          <w:divsChild>
            <w:div w:id="9142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30540">
      <w:bodyDiv w:val="1"/>
      <w:marLeft w:val="0"/>
      <w:marRight w:val="0"/>
      <w:marTop w:val="0"/>
      <w:marBottom w:val="0"/>
      <w:divBdr>
        <w:top w:val="none" w:sz="0" w:space="0" w:color="auto"/>
        <w:left w:val="none" w:sz="0" w:space="0" w:color="auto"/>
        <w:bottom w:val="none" w:sz="0" w:space="0" w:color="auto"/>
        <w:right w:val="none" w:sz="0" w:space="0" w:color="auto"/>
      </w:divBdr>
      <w:divsChild>
        <w:div w:id="1705472716">
          <w:marLeft w:val="480"/>
          <w:marRight w:val="0"/>
          <w:marTop w:val="0"/>
          <w:marBottom w:val="0"/>
          <w:divBdr>
            <w:top w:val="none" w:sz="0" w:space="0" w:color="auto"/>
            <w:left w:val="none" w:sz="0" w:space="0" w:color="auto"/>
            <w:bottom w:val="none" w:sz="0" w:space="0" w:color="auto"/>
            <w:right w:val="none" w:sz="0" w:space="0" w:color="auto"/>
          </w:divBdr>
          <w:divsChild>
            <w:div w:id="1167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9228">
      <w:bodyDiv w:val="1"/>
      <w:marLeft w:val="0"/>
      <w:marRight w:val="0"/>
      <w:marTop w:val="0"/>
      <w:marBottom w:val="0"/>
      <w:divBdr>
        <w:top w:val="none" w:sz="0" w:space="0" w:color="auto"/>
        <w:left w:val="none" w:sz="0" w:space="0" w:color="auto"/>
        <w:bottom w:val="none" w:sz="0" w:space="0" w:color="auto"/>
        <w:right w:val="none" w:sz="0" w:space="0" w:color="auto"/>
      </w:divBdr>
      <w:divsChild>
        <w:div w:id="850871242">
          <w:marLeft w:val="0"/>
          <w:marRight w:val="0"/>
          <w:marTop w:val="0"/>
          <w:marBottom w:val="0"/>
          <w:divBdr>
            <w:top w:val="none" w:sz="0" w:space="0" w:color="auto"/>
            <w:left w:val="none" w:sz="0" w:space="0" w:color="auto"/>
            <w:bottom w:val="none" w:sz="0" w:space="0" w:color="auto"/>
            <w:right w:val="none" w:sz="0" w:space="0" w:color="auto"/>
          </w:divBdr>
          <w:divsChild>
            <w:div w:id="271472390">
              <w:marLeft w:val="0"/>
              <w:marRight w:val="0"/>
              <w:marTop w:val="0"/>
              <w:marBottom w:val="0"/>
              <w:divBdr>
                <w:top w:val="none" w:sz="0" w:space="0" w:color="auto"/>
                <w:left w:val="none" w:sz="0" w:space="0" w:color="auto"/>
                <w:bottom w:val="none" w:sz="0" w:space="0" w:color="auto"/>
                <w:right w:val="none" w:sz="0" w:space="0" w:color="auto"/>
              </w:divBdr>
              <w:divsChild>
                <w:div w:id="1129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91358">
          <w:marLeft w:val="0"/>
          <w:marRight w:val="0"/>
          <w:marTop w:val="100"/>
          <w:marBottom w:val="0"/>
          <w:divBdr>
            <w:top w:val="none" w:sz="0" w:space="0" w:color="auto"/>
            <w:left w:val="none" w:sz="0" w:space="0" w:color="auto"/>
            <w:bottom w:val="none" w:sz="0" w:space="0" w:color="auto"/>
            <w:right w:val="none" w:sz="0" w:space="0" w:color="auto"/>
          </w:divBdr>
          <w:divsChild>
            <w:div w:id="17995201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91176923">
      <w:bodyDiv w:val="1"/>
      <w:marLeft w:val="0"/>
      <w:marRight w:val="0"/>
      <w:marTop w:val="0"/>
      <w:marBottom w:val="0"/>
      <w:divBdr>
        <w:top w:val="none" w:sz="0" w:space="0" w:color="auto"/>
        <w:left w:val="none" w:sz="0" w:space="0" w:color="auto"/>
        <w:bottom w:val="none" w:sz="0" w:space="0" w:color="auto"/>
        <w:right w:val="none" w:sz="0" w:space="0" w:color="auto"/>
      </w:divBdr>
      <w:divsChild>
        <w:div w:id="2090418262">
          <w:marLeft w:val="480"/>
          <w:marRight w:val="0"/>
          <w:marTop w:val="0"/>
          <w:marBottom w:val="0"/>
          <w:divBdr>
            <w:top w:val="none" w:sz="0" w:space="0" w:color="auto"/>
            <w:left w:val="none" w:sz="0" w:space="0" w:color="auto"/>
            <w:bottom w:val="none" w:sz="0" w:space="0" w:color="auto"/>
            <w:right w:val="none" w:sz="0" w:space="0" w:color="auto"/>
          </w:divBdr>
          <w:divsChild>
            <w:div w:id="21412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0126">
      <w:bodyDiv w:val="1"/>
      <w:marLeft w:val="0"/>
      <w:marRight w:val="0"/>
      <w:marTop w:val="0"/>
      <w:marBottom w:val="0"/>
      <w:divBdr>
        <w:top w:val="none" w:sz="0" w:space="0" w:color="auto"/>
        <w:left w:val="none" w:sz="0" w:space="0" w:color="auto"/>
        <w:bottom w:val="none" w:sz="0" w:space="0" w:color="auto"/>
        <w:right w:val="none" w:sz="0" w:space="0" w:color="auto"/>
      </w:divBdr>
      <w:divsChild>
        <w:div w:id="1819692199">
          <w:marLeft w:val="480"/>
          <w:marRight w:val="0"/>
          <w:marTop w:val="0"/>
          <w:marBottom w:val="0"/>
          <w:divBdr>
            <w:top w:val="none" w:sz="0" w:space="0" w:color="auto"/>
            <w:left w:val="none" w:sz="0" w:space="0" w:color="auto"/>
            <w:bottom w:val="none" w:sz="0" w:space="0" w:color="auto"/>
            <w:right w:val="none" w:sz="0" w:space="0" w:color="auto"/>
          </w:divBdr>
          <w:divsChild>
            <w:div w:id="8396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8609">
      <w:bodyDiv w:val="1"/>
      <w:marLeft w:val="0"/>
      <w:marRight w:val="0"/>
      <w:marTop w:val="0"/>
      <w:marBottom w:val="0"/>
      <w:divBdr>
        <w:top w:val="none" w:sz="0" w:space="0" w:color="auto"/>
        <w:left w:val="none" w:sz="0" w:space="0" w:color="auto"/>
        <w:bottom w:val="none" w:sz="0" w:space="0" w:color="auto"/>
        <w:right w:val="none" w:sz="0" w:space="0" w:color="auto"/>
      </w:divBdr>
      <w:divsChild>
        <w:div w:id="1444619311">
          <w:marLeft w:val="480"/>
          <w:marRight w:val="0"/>
          <w:marTop w:val="0"/>
          <w:marBottom w:val="0"/>
          <w:divBdr>
            <w:top w:val="none" w:sz="0" w:space="0" w:color="auto"/>
            <w:left w:val="none" w:sz="0" w:space="0" w:color="auto"/>
            <w:bottom w:val="none" w:sz="0" w:space="0" w:color="auto"/>
            <w:right w:val="none" w:sz="0" w:space="0" w:color="auto"/>
          </w:divBdr>
          <w:divsChild>
            <w:div w:id="14923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4600">
      <w:bodyDiv w:val="1"/>
      <w:marLeft w:val="0"/>
      <w:marRight w:val="0"/>
      <w:marTop w:val="0"/>
      <w:marBottom w:val="0"/>
      <w:divBdr>
        <w:top w:val="none" w:sz="0" w:space="0" w:color="auto"/>
        <w:left w:val="none" w:sz="0" w:space="0" w:color="auto"/>
        <w:bottom w:val="none" w:sz="0" w:space="0" w:color="auto"/>
        <w:right w:val="none" w:sz="0" w:space="0" w:color="auto"/>
      </w:divBdr>
      <w:divsChild>
        <w:div w:id="1700348948">
          <w:marLeft w:val="480"/>
          <w:marRight w:val="0"/>
          <w:marTop w:val="0"/>
          <w:marBottom w:val="0"/>
          <w:divBdr>
            <w:top w:val="none" w:sz="0" w:space="0" w:color="auto"/>
            <w:left w:val="none" w:sz="0" w:space="0" w:color="auto"/>
            <w:bottom w:val="none" w:sz="0" w:space="0" w:color="auto"/>
            <w:right w:val="none" w:sz="0" w:space="0" w:color="auto"/>
          </w:divBdr>
          <w:divsChild>
            <w:div w:id="14977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939">
      <w:bodyDiv w:val="1"/>
      <w:marLeft w:val="0"/>
      <w:marRight w:val="0"/>
      <w:marTop w:val="0"/>
      <w:marBottom w:val="0"/>
      <w:divBdr>
        <w:top w:val="none" w:sz="0" w:space="0" w:color="auto"/>
        <w:left w:val="none" w:sz="0" w:space="0" w:color="auto"/>
        <w:bottom w:val="none" w:sz="0" w:space="0" w:color="auto"/>
        <w:right w:val="none" w:sz="0" w:space="0" w:color="auto"/>
      </w:divBdr>
      <w:divsChild>
        <w:div w:id="787898179">
          <w:marLeft w:val="480"/>
          <w:marRight w:val="0"/>
          <w:marTop w:val="0"/>
          <w:marBottom w:val="0"/>
          <w:divBdr>
            <w:top w:val="none" w:sz="0" w:space="0" w:color="auto"/>
            <w:left w:val="none" w:sz="0" w:space="0" w:color="auto"/>
            <w:bottom w:val="none" w:sz="0" w:space="0" w:color="auto"/>
            <w:right w:val="none" w:sz="0" w:space="0" w:color="auto"/>
          </w:divBdr>
          <w:divsChild>
            <w:div w:id="6663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07257">
      <w:bodyDiv w:val="1"/>
      <w:marLeft w:val="0"/>
      <w:marRight w:val="0"/>
      <w:marTop w:val="0"/>
      <w:marBottom w:val="0"/>
      <w:divBdr>
        <w:top w:val="none" w:sz="0" w:space="0" w:color="auto"/>
        <w:left w:val="none" w:sz="0" w:space="0" w:color="auto"/>
        <w:bottom w:val="none" w:sz="0" w:space="0" w:color="auto"/>
        <w:right w:val="none" w:sz="0" w:space="0" w:color="auto"/>
      </w:divBdr>
      <w:divsChild>
        <w:div w:id="614093091">
          <w:marLeft w:val="480"/>
          <w:marRight w:val="0"/>
          <w:marTop w:val="0"/>
          <w:marBottom w:val="0"/>
          <w:divBdr>
            <w:top w:val="none" w:sz="0" w:space="0" w:color="auto"/>
            <w:left w:val="none" w:sz="0" w:space="0" w:color="auto"/>
            <w:bottom w:val="none" w:sz="0" w:space="0" w:color="auto"/>
            <w:right w:val="none" w:sz="0" w:space="0" w:color="auto"/>
          </w:divBdr>
          <w:divsChild>
            <w:div w:id="12225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3332">
      <w:bodyDiv w:val="1"/>
      <w:marLeft w:val="0"/>
      <w:marRight w:val="0"/>
      <w:marTop w:val="0"/>
      <w:marBottom w:val="0"/>
      <w:divBdr>
        <w:top w:val="none" w:sz="0" w:space="0" w:color="auto"/>
        <w:left w:val="none" w:sz="0" w:space="0" w:color="auto"/>
        <w:bottom w:val="none" w:sz="0" w:space="0" w:color="auto"/>
        <w:right w:val="none" w:sz="0" w:space="0" w:color="auto"/>
      </w:divBdr>
      <w:divsChild>
        <w:div w:id="604771975">
          <w:marLeft w:val="480"/>
          <w:marRight w:val="0"/>
          <w:marTop w:val="0"/>
          <w:marBottom w:val="0"/>
          <w:divBdr>
            <w:top w:val="none" w:sz="0" w:space="0" w:color="auto"/>
            <w:left w:val="none" w:sz="0" w:space="0" w:color="auto"/>
            <w:bottom w:val="none" w:sz="0" w:space="0" w:color="auto"/>
            <w:right w:val="none" w:sz="0" w:space="0" w:color="auto"/>
          </w:divBdr>
          <w:divsChild>
            <w:div w:id="19847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6312">
      <w:bodyDiv w:val="1"/>
      <w:marLeft w:val="0"/>
      <w:marRight w:val="0"/>
      <w:marTop w:val="0"/>
      <w:marBottom w:val="0"/>
      <w:divBdr>
        <w:top w:val="none" w:sz="0" w:space="0" w:color="auto"/>
        <w:left w:val="none" w:sz="0" w:space="0" w:color="auto"/>
        <w:bottom w:val="none" w:sz="0" w:space="0" w:color="auto"/>
        <w:right w:val="none" w:sz="0" w:space="0" w:color="auto"/>
      </w:divBdr>
      <w:divsChild>
        <w:div w:id="272640962">
          <w:marLeft w:val="480"/>
          <w:marRight w:val="0"/>
          <w:marTop w:val="0"/>
          <w:marBottom w:val="0"/>
          <w:divBdr>
            <w:top w:val="none" w:sz="0" w:space="0" w:color="auto"/>
            <w:left w:val="none" w:sz="0" w:space="0" w:color="auto"/>
            <w:bottom w:val="none" w:sz="0" w:space="0" w:color="auto"/>
            <w:right w:val="none" w:sz="0" w:space="0" w:color="auto"/>
          </w:divBdr>
          <w:divsChild>
            <w:div w:id="8587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4109">
      <w:bodyDiv w:val="1"/>
      <w:marLeft w:val="0"/>
      <w:marRight w:val="0"/>
      <w:marTop w:val="0"/>
      <w:marBottom w:val="0"/>
      <w:divBdr>
        <w:top w:val="none" w:sz="0" w:space="0" w:color="auto"/>
        <w:left w:val="none" w:sz="0" w:space="0" w:color="auto"/>
        <w:bottom w:val="none" w:sz="0" w:space="0" w:color="auto"/>
        <w:right w:val="none" w:sz="0" w:space="0" w:color="auto"/>
      </w:divBdr>
      <w:divsChild>
        <w:div w:id="1440443969">
          <w:marLeft w:val="480"/>
          <w:marRight w:val="0"/>
          <w:marTop w:val="0"/>
          <w:marBottom w:val="0"/>
          <w:divBdr>
            <w:top w:val="none" w:sz="0" w:space="0" w:color="auto"/>
            <w:left w:val="none" w:sz="0" w:space="0" w:color="auto"/>
            <w:bottom w:val="none" w:sz="0" w:space="0" w:color="auto"/>
            <w:right w:val="none" w:sz="0" w:space="0" w:color="auto"/>
          </w:divBdr>
          <w:divsChild>
            <w:div w:id="17351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2090">
      <w:bodyDiv w:val="1"/>
      <w:marLeft w:val="0"/>
      <w:marRight w:val="0"/>
      <w:marTop w:val="0"/>
      <w:marBottom w:val="0"/>
      <w:divBdr>
        <w:top w:val="none" w:sz="0" w:space="0" w:color="auto"/>
        <w:left w:val="none" w:sz="0" w:space="0" w:color="auto"/>
        <w:bottom w:val="none" w:sz="0" w:space="0" w:color="auto"/>
        <w:right w:val="none" w:sz="0" w:space="0" w:color="auto"/>
      </w:divBdr>
      <w:divsChild>
        <w:div w:id="1327050340">
          <w:marLeft w:val="480"/>
          <w:marRight w:val="0"/>
          <w:marTop w:val="0"/>
          <w:marBottom w:val="0"/>
          <w:divBdr>
            <w:top w:val="none" w:sz="0" w:space="0" w:color="auto"/>
            <w:left w:val="none" w:sz="0" w:space="0" w:color="auto"/>
            <w:bottom w:val="none" w:sz="0" w:space="0" w:color="auto"/>
            <w:right w:val="none" w:sz="0" w:space="0" w:color="auto"/>
          </w:divBdr>
          <w:divsChild>
            <w:div w:id="10561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3612">
      <w:bodyDiv w:val="1"/>
      <w:marLeft w:val="0"/>
      <w:marRight w:val="0"/>
      <w:marTop w:val="0"/>
      <w:marBottom w:val="0"/>
      <w:divBdr>
        <w:top w:val="none" w:sz="0" w:space="0" w:color="auto"/>
        <w:left w:val="none" w:sz="0" w:space="0" w:color="auto"/>
        <w:bottom w:val="none" w:sz="0" w:space="0" w:color="auto"/>
        <w:right w:val="none" w:sz="0" w:space="0" w:color="auto"/>
      </w:divBdr>
      <w:divsChild>
        <w:div w:id="671490703">
          <w:marLeft w:val="480"/>
          <w:marRight w:val="0"/>
          <w:marTop w:val="0"/>
          <w:marBottom w:val="0"/>
          <w:divBdr>
            <w:top w:val="none" w:sz="0" w:space="0" w:color="auto"/>
            <w:left w:val="none" w:sz="0" w:space="0" w:color="auto"/>
            <w:bottom w:val="none" w:sz="0" w:space="0" w:color="auto"/>
            <w:right w:val="none" w:sz="0" w:space="0" w:color="auto"/>
          </w:divBdr>
          <w:divsChild>
            <w:div w:id="10292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08697">
      <w:bodyDiv w:val="1"/>
      <w:marLeft w:val="0"/>
      <w:marRight w:val="0"/>
      <w:marTop w:val="0"/>
      <w:marBottom w:val="0"/>
      <w:divBdr>
        <w:top w:val="none" w:sz="0" w:space="0" w:color="auto"/>
        <w:left w:val="none" w:sz="0" w:space="0" w:color="auto"/>
        <w:bottom w:val="none" w:sz="0" w:space="0" w:color="auto"/>
        <w:right w:val="none" w:sz="0" w:space="0" w:color="auto"/>
      </w:divBdr>
      <w:divsChild>
        <w:div w:id="1160386867">
          <w:marLeft w:val="480"/>
          <w:marRight w:val="0"/>
          <w:marTop w:val="0"/>
          <w:marBottom w:val="0"/>
          <w:divBdr>
            <w:top w:val="none" w:sz="0" w:space="0" w:color="auto"/>
            <w:left w:val="none" w:sz="0" w:space="0" w:color="auto"/>
            <w:bottom w:val="none" w:sz="0" w:space="0" w:color="auto"/>
            <w:right w:val="none" w:sz="0" w:space="0" w:color="auto"/>
          </w:divBdr>
          <w:divsChild>
            <w:div w:id="5659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983">
      <w:bodyDiv w:val="1"/>
      <w:marLeft w:val="0"/>
      <w:marRight w:val="0"/>
      <w:marTop w:val="0"/>
      <w:marBottom w:val="0"/>
      <w:divBdr>
        <w:top w:val="none" w:sz="0" w:space="0" w:color="auto"/>
        <w:left w:val="none" w:sz="0" w:space="0" w:color="auto"/>
        <w:bottom w:val="none" w:sz="0" w:space="0" w:color="auto"/>
        <w:right w:val="none" w:sz="0" w:space="0" w:color="auto"/>
      </w:divBdr>
      <w:divsChild>
        <w:div w:id="1711612382">
          <w:marLeft w:val="480"/>
          <w:marRight w:val="0"/>
          <w:marTop w:val="0"/>
          <w:marBottom w:val="0"/>
          <w:divBdr>
            <w:top w:val="none" w:sz="0" w:space="0" w:color="auto"/>
            <w:left w:val="none" w:sz="0" w:space="0" w:color="auto"/>
            <w:bottom w:val="none" w:sz="0" w:space="0" w:color="auto"/>
            <w:right w:val="none" w:sz="0" w:space="0" w:color="auto"/>
          </w:divBdr>
          <w:divsChild>
            <w:div w:id="1261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0809">
      <w:bodyDiv w:val="1"/>
      <w:marLeft w:val="0"/>
      <w:marRight w:val="0"/>
      <w:marTop w:val="0"/>
      <w:marBottom w:val="0"/>
      <w:divBdr>
        <w:top w:val="none" w:sz="0" w:space="0" w:color="auto"/>
        <w:left w:val="none" w:sz="0" w:space="0" w:color="auto"/>
        <w:bottom w:val="none" w:sz="0" w:space="0" w:color="auto"/>
        <w:right w:val="none" w:sz="0" w:space="0" w:color="auto"/>
      </w:divBdr>
      <w:divsChild>
        <w:div w:id="700059584">
          <w:marLeft w:val="480"/>
          <w:marRight w:val="0"/>
          <w:marTop w:val="0"/>
          <w:marBottom w:val="0"/>
          <w:divBdr>
            <w:top w:val="none" w:sz="0" w:space="0" w:color="auto"/>
            <w:left w:val="none" w:sz="0" w:space="0" w:color="auto"/>
            <w:bottom w:val="none" w:sz="0" w:space="0" w:color="auto"/>
            <w:right w:val="none" w:sz="0" w:space="0" w:color="auto"/>
          </w:divBdr>
          <w:divsChild>
            <w:div w:id="13024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053">
      <w:bodyDiv w:val="1"/>
      <w:marLeft w:val="0"/>
      <w:marRight w:val="0"/>
      <w:marTop w:val="0"/>
      <w:marBottom w:val="0"/>
      <w:divBdr>
        <w:top w:val="none" w:sz="0" w:space="0" w:color="auto"/>
        <w:left w:val="none" w:sz="0" w:space="0" w:color="auto"/>
        <w:bottom w:val="none" w:sz="0" w:space="0" w:color="auto"/>
        <w:right w:val="none" w:sz="0" w:space="0" w:color="auto"/>
      </w:divBdr>
      <w:divsChild>
        <w:div w:id="1037926304">
          <w:marLeft w:val="480"/>
          <w:marRight w:val="0"/>
          <w:marTop w:val="0"/>
          <w:marBottom w:val="0"/>
          <w:divBdr>
            <w:top w:val="none" w:sz="0" w:space="0" w:color="auto"/>
            <w:left w:val="none" w:sz="0" w:space="0" w:color="auto"/>
            <w:bottom w:val="none" w:sz="0" w:space="0" w:color="auto"/>
            <w:right w:val="none" w:sz="0" w:space="0" w:color="auto"/>
          </w:divBdr>
          <w:divsChild>
            <w:div w:id="12508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3490">
      <w:bodyDiv w:val="1"/>
      <w:marLeft w:val="0"/>
      <w:marRight w:val="0"/>
      <w:marTop w:val="0"/>
      <w:marBottom w:val="0"/>
      <w:divBdr>
        <w:top w:val="none" w:sz="0" w:space="0" w:color="auto"/>
        <w:left w:val="none" w:sz="0" w:space="0" w:color="auto"/>
        <w:bottom w:val="none" w:sz="0" w:space="0" w:color="auto"/>
        <w:right w:val="none" w:sz="0" w:space="0" w:color="auto"/>
      </w:divBdr>
      <w:divsChild>
        <w:div w:id="81611847">
          <w:marLeft w:val="480"/>
          <w:marRight w:val="0"/>
          <w:marTop w:val="0"/>
          <w:marBottom w:val="0"/>
          <w:divBdr>
            <w:top w:val="none" w:sz="0" w:space="0" w:color="auto"/>
            <w:left w:val="none" w:sz="0" w:space="0" w:color="auto"/>
            <w:bottom w:val="none" w:sz="0" w:space="0" w:color="auto"/>
            <w:right w:val="none" w:sz="0" w:space="0" w:color="auto"/>
          </w:divBdr>
          <w:divsChild>
            <w:div w:id="8974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4705">
      <w:bodyDiv w:val="1"/>
      <w:marLeft w:val="0"/>
      <w:marRight w:val="0"/>
      <w:marTop w:val="0"/>
      <w:marBottom w:val="0"/>
      <w:divBdr>
        <w:top w:val="none" w:sz="0" w:space="0" w:color="auto"/>
        <w:left w:val="none" w:sz="0" w:space="0" w:color="auto"/>
        <w:bottom w:val="none" w:sz="0" w:space="0" w:color="auto"/>
        <w:right w:val="none" w:sz="0" w:space="0" w:color="auto"/>
      </w:divBdr>
      <w:divsChild>
        <w:div w:id="242765984">
          <w:marLeft w:val="0"/>
          <w:marRight w:val="0"/>
          <w:marTop w:val="0"/>
          <w:marBottom w:val="0"/>
          <w:divBdr>
            <w:top w:val="none" w:sz="0" w:space="0" w:color="auto"/>
            <w:left w:val="none" w:sz="0" w:space="0" w:color="auto"/>
            <w:bottom w:val="none" w:sz="0" w:space="0" w:color="auto"/>
            <w:right w:val="none" w:sz="0" w:space="0" w:color="auto"/>
          </w:divBdr>
        </w:div>
        <w:div w:id="915630386">
          <w:marLeft w:val="0"/>
          <w:marRight w:val="0"/>
          <w:marTop w:val="0"/>
          <w:marBottom w:val="0"/>
          <w:divBdr>
            <w:top w:val="single" w:sz="36" w:space="0" w:color="DBDBDB"/>
            <w:left w:val="none" w:sz="0" w:space="0" w:color="auto"/>
            <w:bottom w:val="none" w:sz="0" w:space="0" w:color="auto"/>
            <w:right w:val="none" w:sz="0" w:space="0" w:color="auto"/>
          </w:divBdr>
        </w:div>
      </w:divsChild>
    </w:div>
    <w:div w:id="1502239060">
      <w:bodyDiv w:val="1"/>
      <w:marLeft w:val="0"/>
      <w:marRight w:val="0"/>
      <w:marTop w:val="0"/>
      <w:marBottom w:val="0"/>
      <w:divBdr>
        <w:top w:val="none" w:sz="0" w:space="0" w:color="auto"/>
        <w:left w:val="none" w:sz="0" w:space="0" w:color="auto"/>
        <w:bottom w:val="none" w:sz="0" w:space="0" w:color="auto"/>
        <w:right w:val="none" w:sz="0" w:space="0" w:color="auto"/>
      </w:divBdr>
      <w:divsChild>
        <w:div w:id="463812861">
          <w:marLeft w:val="480"/>
          <w:marRight w:val="0"/>
          <w:marTop w:val="0"/>
          <w:marBottom w:val="0"/>
          <w:divBdr>
            <w:top w:val="none" w:sz="0" w:space="0" w:color="auto"/>
            <w:left w:val="none" w:sz="0" w:space="0" w:color="auto"/>
            <w:bottom w:val="none" w:sz="0" w:space="0" w:color="auto"/>
            <w:right w:val="none" w:sz="0" w:space="0" w:color="auto"/>
          </w:divBdr>
          <w:divsChild>
            <w:div w:id="15161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00143">
      <w:bodyDiv w:val="1"/>
      <w:marLeft w:val="0"/>
      <w:marRight w:val="0"/>
      <w:marTop w:val="0"/>
      <w:marBottom w:val="0"/>
      <w:divBdr>
        <w:top w:val="none" w:sz="0" w:space="0" w:color="auto"/>
        <w:left w:val="none" w:sz="0" w:space="0" w:color="auto"/>
        <w:bottom w:val="none" w:sz="0" w:space="0" w:color="auto"/>
        <w:right w:val="none" w:sz="0" w:space="0" w:color="auto"/>
      </w:divBdr>
      <w:divsChild>
        <w:div w:id="1833059505">
          <w:marLeft w:val="480"/>
          <w:marRight w:val="0"/>
          <w:marTop w:val="0"/>
          <w:marBottom w:val="0"/>
          <w:divBdr>
            <w:top w:val="none" w:sz="0" w:space="0" w:color="auto"/>
            <w:left w:val="none" w:sz="0" w:space="0" w:color="auto"/>
            <w:bottom w:val="none" w:sz="0" w:space="0" w:color="auto"/>
            <w:right w:val="none" w:sz="0" w:space="0" w:color="auto"/>
          </w:divBdr>
          <w:divsChild>
            <w:div w:id="7292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1854">
      <w:bodyDiv w:val="1"/>
      <w:marLeft w:val="0"/>
      <w:marRight w:val="0"/>
      <w:marTop w:val="0"/>
      <w:marBottom w:val="0"/>
      <w:divBdr>
        <w:top w:val="none" w:sz="0" w:space="0" w:color="auto"/>
        <w:left w:val="none" w:sz="0" w:space="0" w:color="auto"/>
        <w:bottom w:val="none" w:sz="0" w:space="0" w:color="auto"/>
        <w:right w:val="none" w:sz="0" w:space="0" w:color="auto"/>
      </w:divBdr>
      <w:divsChild>
        <w:div w:id="1779641866">
          <w:marLeft w:val="480"/>
          <w:marRight w:val="0"/>
          <w:marTop w:val="0"/>
          <w:marBottom w:val="0"/>
          <w:divBdr>
            <w:top w:val="none" w:sz="0" w:space="0" w:color="auto"/>
            <w:left w:val="none" w:sz="0" w:space="0" w:color="auto"/>
            <w:bottom w:val="none" w:sz="0" w:space="0" w:color="auto"/>
            <w:right w:val="none" w:sz="0" w:space="0" w:color="auto"/>
          </w:divBdr>
          <w:divsChild>
            <w:div w:id="18548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21685">
      <w:bodyDiv w:val="1"/>
      <w:marLeft w:val="0"/>
      <w:marRight w:val="0"/>
      <w:marTop w:val="0"/>
      <w:marBottom w:val="0"/>
      <w:divBdr>
        <w:top w:val="none" w:sz="0" w:space="0" w:color="auto"/>
        <w:left w:val="none" w:sz="0" w:space="0" w:color="auto"/>
        <w:bottom w:val="none" w:sz="0" w:space="0" w:color="auto"/>
        <w:right w:val="none" w:sz="0" w:space="0" w:color="auto"/>
      </w:divBdr>
      <w:divsChild>
        <w:div w:id="1148129580">
          <w:marLeft w:val="480"/>
          <w:marRight w:val="0"/>
          <w:marTop w:val="0"/>
          <w:marBottom w:val="0"/>
          <w:divBdr>
            <w:top w:val="none" w:sz="0" w:space="0" w:color="auto"/>
            <w:left w:val="none" w:sz="0" w:space="0" w:color="auto"/>
            <w:bottom w:val="none" w:sz="0" w:space="0" w:color="auto"/>
            <w:right w:val="none" w:sz="0" w:space="0" w:color="auto"/>
          </w:divBdr>
          <w:divsChild>
            <w:div w:id="1866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327">
      <w:bodyDiv w:val="1"/>
      <w:marLeft w:val="0"/>
      <w:marRight w:val="0"/>
      <w:marTop w:val="0"/>
      <w:marBottom w:val="0"/>
      <w:divBdr>
        <w:top w:val="none" w:sz="0" w:space="0" w:color="auto"/>
        <w:left w:val="none" w:sz="0" w:space="0" w:color="auto"/>
        <w:bottom w:val="none" w:sz="0" w:space="0" w:color="auto"/>
        <w:right w:val="none" w:sz="0" w:space="0" w:color="auto"/>
      </w:divBdr>
      <w:divsChild>
        <w:div w:id="825586065">
          <w:marLeft w:val="480"/>
          <w:marRight w:val="0"/>
          <w:marTop w:val="0"/>
          <w:marBottom w:val="0"/>
          <w:divBdr>
            <w:top w:val="none" w:sz="0" w:space="0" w:color="auto"/>
            <w:left w:val="none" w:sz="0" w:space="0" w:color="auto"/>
            <w:bottom w:val="none" w:sz="0" w:space="0" w:color="auto"/>
            <w:right w:val="none" w:sz="0" w:space="0" w:color="auto"/>
          </w:divBdr>
          <w:divsChild>
            <w:div w:id="20967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1455">
      <w:bodyDiv w:val="1"/>
      <w:marLeft w:val="0"/>
      <w:marRight w:val="0"/>
      <w:marTop w:val="0"/>
      <w:marBottom w:val="0"/>
      <w:divBdr>
        <w:top w:val="none" w:sz="0" w:space="0" w:color="auto"/>
        <w:left w:val="none" w:sz="0" w:space="0" w:color="auto"/>
        <w:bottom w:val="none" w:sz="0" w:space="0" w:color="auto"/>
        <w:right w:val="none" w:sz="0" w:space="0" w:color="auto"/>
      </w:divBdr>
      <w:divsChild>
        <w:div w:id="1648389901">
          <w:marLeft w:val="480"/>
          <w:marRight w:val="0"/>
          <w:marTop w:val="0"/>
          <w:marBottom w:val="0"/>
          <w:divBdr>
            <w:top w:val="none" w:sz="0" w:space="0" w:color="auto"/>
            <w:left w:val="none" w:sz="0" w:space="0" w:color="auto"/>
            <w:bottom w:val="none" w:sz="0" w:space="0" w:color="auto"/>
            <w:right w:val="none" w:sz="0" w:space="0" w:color="auto"/>
          </w:divBdr>
          <w:divsChild>
            <w:div w:id="599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725">
      <w:bodyDiv w:val="1"/>
      <w:marLeft w:val="0"/>
      <w:marRight w:val="0"/>
      <w:marTop w:val="0"/>
      <w:marBottom w:val="0"/>
      <w:divBdr>
        <w:top w:val="none" w:sz="0" w:space="0" w:color="auto"/>
        <w:left w:val="none" w:sz="0" w:space="0" w:color="auto"/>
        <w:bottom w:val="none" w:sz="0" w:space="0" w:color="auto"/>
        <w:right w:val="none" w:sz="0" w:space="0" w:color="auto"/>
      </w:divBdr>
      <w:divsChild>
        <w:div w:id="1133326605">
          <w:marLeft w:val="480"/>
          <w:marRight w:val="0"/>
          <w:marTop w:val="0"/>
          <w:marBottom w:val="0"/>
          <w:divBdr>
            <w:top w:val="none" w:sz="0" w:space="0" w:color="auto"/>
            <w:left w:val="none" w:sz="0" w:space="0" w:color="auto"/>
            <w:bottom w:val="none" w:sz="0" w:space="0" w:color="auto"/>
            <w:right w:val="none" w:sz="0" w:space="0" w:color="auto"/>
          </w:divBdr>
          <w:divsChild>
            <w:div w:id="13641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5709">
      <w:bodyDiv w:val="1"/>
      <w:marLeft w:val="0"/>
      <w:marRight w:val="0"/>
      <w:marTop w:val="0"/>
      <w:marBottom w:val="0"/>
      <w:divBdr>
        <w:top w:val="none" w:sz="0" w:space="0" w:color="auto"/>
        <w:left w:val="none" w:sz="0" w:space="0" w:color="auto"/>
        <w:bottom w:val="none" w:sz="0" w:space="0" w:color="auto"/>
        <w:right w:val="none" w:sz="0" w:space="0" w:color="auto"/>
      </w:divBdr>
      <w:divsChild>
        <w:div w:id="812790323">
          <w:marLeft w:val="480"/>
          <w:marRight w:val="0"/>
          <w:marTop w:val="0"/>
          <w:marBottom w:val="0"/>
          <w:divBdr>
            <w:top w:val="none" w:sz="0" w:space="0" w:color="auto"/>
            <w:left w:val="none" w:sz="0" w:space="0" w:color="auto"/>
            <w:bottom w:val="none" w:sz="0" w:space="0" w:color="auto"/>
            <w:right w:val="none" w:sz="0" w:space="0" w:color="auto"/>
          </w:divBdr>
          <w:divsChild>
            <w:div w:id="110815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543">
      <w:bodyDiv w:val="1"/>
      <w:marLeft w:val="0"/>
      <w:marRight w:val="0"/>
      <w:marTop w:val="0"/>
      <w:marBottom w:val="0"/>
      <w:divBdr>
        <w:top w:val="none" w:sz="0" w:space="0" w:color="auto"/>
        <w:left w:val="none" w:sz="0" w:space="0" w:color="auto"/>
        <w:bottom w:val="none" w:sz="0" w:space="0" w:color="auto"/>
        <w:right w:val="none" w:sz="0" w:space="0" w:color="auto"/>
      </w:divBdr>
      <w:divsChild>
        <w:div w:id="847064016">
          <w:marLeft w:val="480"/>
          <w:marRight w:val="0"/>
          <w:marTop w:val="0"/>
          <w:marBottom w:val="0"/>
          <w:divBdr>
            <w:top w:val="none" w:sz="0" w:space="0" w:color="auto"/>
            <w:left w:val="none" w:sz="0" w:space="0" w:color="auto"/>
            <w:bottom w:val="none" w:sz="0" w:space="0" w:color="auto"/>
            <w:right w:val="none" w:sz="0" w:space="0" w:color="auto"/>
          </w:divBdr>
          <w:divsChild>
            <w:div w:id="17123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08428">
      <w:bodyDiv w:val="1"/>
      <w:marLeft w:val="0"/>
      <w:marRight w:val="0"/>
      <w:marTop w:val="0"/>
      <w:marBottom w:val="0"/>
      <w:divBdr>
        <w:top w:val="none" w:sz="0" w:space="0" w:color="auto"/>
        <w:left w:val="none" w:sz="0" w:space="0" w:color="auto"/>
        <w:bottom w:val="none" w:sz="0" w:space="0" w:color="auto"/>
        <w:right w:val="none" w:sz="0" w:space="0" w:color="auto"/>
      </w:divBdr>
      <w:divsChild>
        <w:div w:id="454065507">
          <w:marLeft w:val="480"/>
          <w:marRight w:val="0"/>
          <w:marTop w:val="0"/>
          <w:marBottom w:val="0"/>
          <w:divBdr>
            <w:top w:val="none" w:sz="0" w:space="0" w:color="auto"/>
            <w:left w:val="none" w:sz="0" w:space="0" w:color="auto"/>
            <w:bottom w:val="none" w:sz="0" w:space="0" w:color="auto"/>
            <w:right w:val="none" w:sz="0" w:space="0" w:color="auto"/>
          </w:divBdr>
          <w:divsChild>
            <w:div w:id="15051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6283">
      <w:bodyDiv w:val="1"/>
      <w:marLeft w:val="0"/>
      <w:marRight w:val="0"/>
      <w:marTop w:val="0"/>
      <w:marBottom w:val="0"/>
      <w:divBdr>
        <w:top w:val="none" w:sz="0" w:space="0" w:color="auto"/>
        <w:left w:val="none" w:sz="0" w:space="0" w:color="auto"/>
        <w:bottom w:val="none" w:sz="0" w:space="0" w:color="auto"/>
        <w:right w:val="none" w:sz="0" w:space="0" w:color="auto"/>
      </w:divBdr>
      <w:divsChild>
        <w:div w:id="941910713">
          <w:marLeft w:val="480"/>
          <w:marRight w:val="0"/>
          <w:marTop w:val="0"/>
          <w:marBottom w:val="0"/>
          <w:divBdr>
            <w:top w:val="none" w:sz="0" w:space="0" w:color="auto"/>
            <w:left w:val="none" w:sz="0" w:space="0" w:color="auto"/>
            <w:bottom w:val="none" w:sz="0" w:space="0" w:color="auto"/>
            <w:right w:val="none" w:sz="0" w:space="0" w:color="auto"/>
          </w:divBdr>
          <w:divsChild>
            <w:div w:id="12619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2805">
      <w:bodyDiv w:val="1"/>
      <w:marLeft w:val="0"/>
      <w:marRight w:val="0"/>
      <w:marTop w:val="0"/>
      <w:marBottom w:val="0"/>
      <w:divBdr>
        <w:top w:val="none" w:sz="0" w:space="0" w:color="auto"/>
        <w:left w:val="none" w:sz="0" w:space="0" w:color="auto"/>
        <w:bottom w:val="none" w:sz="0" w:space="0" w:color="auto"/>
        <w:right w:val="none" w:sz="0" w:space="0" w:color="auto"/>
      </w:divBdr>
      <w:divsChild>
        <w:div w:id="1370951777">
          <w:marLeft w:val="480"/>
          <w:marRight w:val="0"/>
          <w:marTop w:val="0"/>
          <w:marBottom w:val="0"/>
          <w:divBdr>
            <w:top w:val="none" w:sz="0" w:space="0" w:color="auto"/>
            <w:left w:val="none" w:sz="0" w:space="0" w:color="auto"/>
            <w:bottom w:val="none" w:sz="0" w:space="0" w:color="auto"/>
            <w:right w:val="none" w:sz="0" w:space="0" w:color="auto"/>
          </w:divBdr>
          <w:divsChild>
            <w:div w:id="15451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8388">
      <w:bodyDiv w:val="1"/>
      <w:marLeft w:val="0"/>
      <w:marRight w:val="0"/>
      <w:marTop w:val="0"/>
      <w:marBottom w:val="0"/>
      <w:divBdr>
        <w:top w:val="none" w:sz="0" w:space="0" w:color="auto"/>
        <w:left w:val="none" w:sz="0" w:space="0" w:color="auto"/>
        <w:bottom w:val="none" w:sz="0" w:space="0" w:color="auto"/>
        <w:right w:val="none" w:sz="0" w:space="0" w:color="auto"/>
      </w:divBdr>
      <w:divsChild>
        <w:div w:id="2047945710">
          <w:marLeft w:val="480"/>
          <w:marRight w:val="0"/>
          <w:marTop w:val="0"/>
          <w:marBottom w:val="0"/>
          <w:divBdr>
            <w:top w:val="none" w:sz="0" w:space="0" w:color="auto"/>
            <w:left w:val="none" w:sz="0" w:space="0" w:color="auto"/>
            <w:bottom w:val="none" w:sz="0" w:space="0" w:color="auto"/>
            <w:right w:val="none" w:sz="0" w:space="0" w:color="auto"/>
          </w:divBdr>
          <w:divsChild>
            <w:div w:id="1019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7110">
      <w:bodyDiv w:val="1"/>
      <w:marLeft w:val="0"/>
      <w:marRight w:val="0"/>
      <w:marTop w:val="0"/>
      <w:marBottom w:val="0"/>
      <w:divBdr>
        <w:top w:val="none" w:sz="0" w:space="0" w:color="auto"/>
        <w:left w:val="none" w:sz="0" w:space="0" w:color="auto"/>
        <w:bottom w:val="none" w:sz="0" w:space="0" w:color="auto"/>
        <w:right w:val="none" w:sz="0" w:space="0" w:color="auto"/>
      </w:divBdr>
      <w:divsChild>
        <w:div w:id="947741199">
          <w:marLeft w:val="480"/>
          <w:marRight w:val="0"/>
          <w:marTop w:val="0"/>
          <w:marBottom w:val="0"/>
          <w:divBdr>
            <w:top w:val="none" w:sz="0" w:space="0" w:color="auto"/>
            <w:left w:val="none" w:sz="0" w:space="0" w:color="auto"/>
            <w:bottom w:val="none" w:sz="0" w:space="0" w:color="auto"/>
            <w:right w:val="none" w:sz="0" w:space="0" w:color="auto"/>
          </w:divBdr>
          <w:divsChild>
            <w:div w:id="21315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1983">
      <w:bodyDiv w:val="1"/>
      <w:marLeft w:val="0"/>
      <w:marRight w:val="0"/>
      <w:marTop w:val="0"/>
      <w:marBottom w:val="0"/>
      <w:divBdr>
        <w:top w:val="none" w:sz="0" w:space="0" w:color="auto"/>
        <w:left w:val="none" w:sz="0" w:space="0" w:color="auto"/>
        <w:bottom w:val="none" w:sz="0" w:space="0" w:color="auto"/>
        <w:right w:val="none" w:sz="0" w:space="0" w:color="auto"/>
      </w:divBdr>
      <w:divsChild>
        <w:div w:id="299461272">
          <w:marLeft w:val="480"/>
          <w:marRight w:val="0"/>
          <w:marTop w:val="0"/>
          <w:marBottom w:val="0"/>
          <w:divBdr>
            <w:top w:val="none" w:sz="0" w:space="0" w:color="auto"/>
            <w:left w:val="none" w:sz="0" w:space="0" w:color="auto"/>
            <w:bottom w:val="none" w:sz="0" w:space="0" w:color="auto"/>
            <w:right w:val="none" w:sz="0" w:space="0" w:color="auto"/>
          </w:divBdr>
          <w:divsChild>
            <w:div w:id="9509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60401">
      <w:bodyDiv w:val="1"/>
      <w:marLeft w:val="0"/>
      <w:marRight w:val="0"/>
      <w:marTop w:val="0"/>
      <w:marBottom w:val="0"/>
      <w:divBdr>
        <w:top w:val="none" w:sz="0" w:space="0" w:color="auto"/>
        <w:left w:val="none" w:sz="0" w:space="0" w:color="auto"/>
        <w:bottom w:val="none" w:sz="0" w:space="0" w:color="auto"/>
        <w:right w:val="none" w:sz="0" w:space="0" w:color="auto"/>
      </w:divBdr>
      <w:divsChild>
        <w:div w:id="500773661">
          <w:marLeft w:val="480"/>
          <w:marRight w:val="0"/>
          <w:marTop w:val="0"/>
          <w:marBottom w:val="0"/>
          <w:divBdr>
            <w:top w:val="none" w:sz="0" w:space="0" w:color="auto"/>
            <w:left w:val="none" w:sz="0" w:space="0" w:color="auto"/>
            <w:bottom w:val="none" w:sz="0" w:space="0" w:color="auto"/>
            <w:right w:val="none" w:sz="0" w:space="0" w:color="auto"/>
          </w:divBdr>
          <w:divsChild>
            <w:div w:id="1873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8945">
      <w:bodyDiv w:val="1"/>
      <w:marLeft w:val="0"/>
      <w:marRight w:val="0"/>
      <w:marTop w:val="0"/>
      <w:marBottom w:val="0"/>
      <w:divBdr>
        <w:top w:val="none" w:sz="0" w:space="0" w:color="auto"/>
        <w:left w:val="none" w:sz="0" w:space="0" w:color="auto"/>
        <w:bottom w:val="none" w:sz="0" w:space="0" w:color="auto"/>
        <w:right w:val="none" w:sz="0" w:space="0" w:color="auto"/>
      </w:divBdr>
      <w:divsChild>
        <w:div w:id="1650868438">
          <w:marLeft w:val="480"/>
          <w:marRight w:val="0"/>
          <w:marTop w:val="0"/>
          <w:marBottom w:val="0"/>
          <w:divBdr>
            <w:top w:val="none" w:sz="0" w:space="0" w:color="auto"/>
            <w:left w:val="none" w:sz="0" w:space="0" w:color="auto"/>
            <w:bottom w:val="none" w:sz="0" w:space="0" w:color="auto"/>
            <w:right w:val="none" w:sz="0" w:space="0" w:color="auto"/>
          </w:divBdr>
          <w:divsChild>
            <w:div w:id="3792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2607">
      <w:bodyDiv w:val="1"/>
      <w:marLeft w:val="0"/>
      <w:marRight w:val="0"/>
      <w:marTop w:val="0"/>
      <w:marBottom w:val="0"/>
      <w:divBdr>
        <w:top w:val="none" w:sz="0" w:space="0" w:color="auto"/>
        <w:left w:val="none" w:sz="0" w:space="0" w:color="auto"/>
        <w:bottom w:val="none" w:sz="0" w:space="0" w:color="auto"/>
        <w:right w:val="none" w:sz="0" w:space="0" w:color="auto"/>
      </w:divBdr>
      <w:divsChild>
        <w:div w:id="1950509090">
          <w:marLeft w:val="480"/>
          <w:marRight w:val="0"/>
          <w:marTop w:val="0"/>
          <w:marBottom w:val="0"/>
          <w:divBdr>
            <w:top w:val="none" w:sz="0" w:space="0" w:color="auto"/>
            <w:left w:val="none" w:sz="0" w:space="0" w:color="auto"/>
            <w:bottom w:val="none" w:sz="0" w:space="0" w:color="auto"/>
            <w:right w:val="none" w:sz="0" w:space="0" w:color="auto"/>
          </w:divBdr>
          <w:divsChild>
            <w:div w:id="10224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657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71">
          <w:marLeft w:val="480"/>
          <w:marRight w:val="0"/>
          <w:marTop w:val="0"/>
          <w:marBottom w:val="0"/>
          <w:divBdr>
            <w:top w:val="none" w:sz="0" w:space="0" w:color="auto"/>
            <w:left w:val="none" w:sz="0" w:space="0" w:color="auto"/>
            <w:bottom w:val="none" w:sz="0" w:space="0" w:color="auto"/>
            <w:right w:val="none" w:sz="0" w:space="0" w:color="auto"/>
          </w:divBdr>
          <w:divsChild>
            <w:div w:id="11052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1394">
      <w:bodyDiv w:val="1"/>
      <w:marLeft w:val="0"/>
      <w:marRight w:val="0"/>
      <w:marTop w:val="0"/>
      <w:marBottom w:val="0"/>
      <w:divBdr>
        <w:top w:val="none" w:sz="0" w:space="0" w:color="auto"/>
        <w:left w:val="none" w:sz="0" w:space="0" w:color="auto"/>
        <w:bottom w:val="none" w:sz="0" w:space="0" w:color="auto"/>
        <w:right w:val="none" w:sz="0" w:space="0" w:color="auto"/>
      </w:divBdr>
      <w:divsChild>
        <w:div w:id="1499618734">
          <w:marLeft w:val="480"/>
          <w:marRight w:val="0"/>
          <w:marTop w:val="0"/>
          <w:marBottom w:val="0"/>
          <w:divBdr>
            <w:top w:val="none" w:sz="0" w:space="0" w:color="auto"/>
            <w:left w:val="none" w:sz="0" w:space="0" w:color="auto"/>
            <w:bottom w:val="none" w:sz="0" w:space="0" w:color="auto"/>
            <w:right w:val="none" w:sz="0" w:space="0" w:color="auto"/>
          </w:divBdr>
          <w:divsChild>
            <w:div w:id="3831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8099">
      <w:bodyDiv w:val="1"/>
      <w:marLeft w:val="0"/>
      <w:marRight w:val="0"/>
      <w:marTop w:val="0"/>
      <w:marBottom w:val="0"/>
      <w:divBdr>
        <w:top w:val="none" w:sz="0" w:space="0" w:color="auto"/>
        <w:left w:val="none" w:sz="0" w:space="0" w:color="auto"/>
        <w:bottom w:val="none" w:sz="0" w:space="0" w:color="auto"/>
        <w:right w:val="none" w:sz="0" w:space="0" w:color="auto"/>
      </w:divBdr>
      <w:divsChild>
        <w:div w:id="114450275">
          <w:marLeft w:val="480"/>
          <w:marRight w:val="0"/>
          <w:marTop w:val="0"/>
          <w:marBottom w:val="0"/>
          <w:divBdr>
            <w:top w:val="none" w:sz="0" w:space="0" w:color="auto"/>
            <w:left w:val="none" w:sz="0" w:space="0" w:color="auto"/>
            <w:bottom w:val="none" w:sz="0" w:space="0" w:color="auto"/>
            <w:right w:val="none" w:sz="0" w:space="0" w:color="auto"/>
          </w:divBdr>
          <w:divsChild>
            <w:div w:id="8998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5840">
      <w:bodyDiv w:val="1"/>
      <w:marLeft w:val="0"/>
      <w:marRight w:val="0"/>
      <w:marTop w:val="0"/>
      <w:marBottom w:val="0"/>
      <w:divBdr>
        <w:top w:val="none" w:sz="0" w:space="0" w:color="auto"/>
        <w:left w:val="none" w:sz="0" w:space="0" w:color="auto"/>
        <w:bottom w:val="none" w:sz="0" w:space="0" w:color="auto"/>
        <w:right w:val="none" w:sz="0" w:space="0" w:color="auto"/>
      </w:divBdr>
      <w:divsChild>
        <w:div w:id="1623882127">
          <w:marLeft w:val="480"/>
          <w:marRight w:val="0"/>
          <w:marTop w:val="0"/>
          <w:marBottom w:val="0"/>
          <w:divBdr>
            <w:top w:val="none" w:sz="0" w:space="0" w:color="auto"/>
            <w:left w:val="none" w:sz="0" w:space="0" w:color="auto"/>
            <w:bottom w:val="none" w:sz="0" w:space="0" w:color="auto"/>
            <w:right w:val="none" w:sz="0" w:space="0" w:color="auto"/>
          </w:divBdr>
          <w:divsChild>
            <w:div w:id="5623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3975">
      <w:bodyDiv w:val="1"/>
      <w:marLeft w:val="0"/>
      <w:marRight w:val="0"/>
      <w:marTop w:val="0"/>
      <w:marBottom w:val="0"/>
      <w:divBdr>
        <w:top w:val="none" w:sz="0" w:space="0" w:color="auto"/>
        <w:left w:val="none" w:sz="0" w:space="0" w:color="auto"/>
        <w:bottom w:val="none" w:sz="0" w:space="0" w:color="auto"/>
        <w:right w:val="none" w:sz="0" w:space="0" w:color="auto"/>
      </w:divBdr>
      <w:divsChild>
        <w:div w:id="282155231">
          <w:marLeft w:val="480"/>
          <w:marRight w:val="0"/>
          <w:marTop w:val="0"/>
          <w:marBottom w:val="0"/>
          <w:divBdr>
            <w:top w:val="none" w:sz="0" w:space="0" w:color="auto"/>
            <w:left w:val="none" w:sz="0" w:space="0" w:color="auto"/>
            <w:bottom w:val="none" w:sz="0" w:space="0" w:color="auto"/>
            <w:right w:val="none" w:sz="0" w:space="0" w:color="auto"/>
          </w:divBdr>
          <w:divsChild>
            <w:div w:id="19780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10018-016-0180-3" TargetMode="External"/><Relationship Id="rId18" Type="http://schemas.openxmlformats.org/officeDocument/2006/relationships/hyperlink" Target="https://doi.org/10.1080/00036846.2021.1963410" TargetMode="External"/><Relationship Id="rId26" Type="http://schemas.openxmlformats.org/officeDocument/2006/relationships/hyperlink" Target="https://doi.org/10.1016/j.strueco.2020.05.007" TargetMode="External"/><Relationship Id="rId39" Type="http://schemas.openxmlformats.org/officeDocument/2006/relationships/hyperlink" Target="https://doi.org/10.1080/09538259.2020.1815961" TargetMode="External"/><Relationship Id="rId21" Type="http://schemas.openxmlformats.org/officeDocument/2006/relationships/hyperlink" Target="http://dx.doi.org/10.3386/w17400" TargetMode="External"/><Relationship Id="rId34" Type="http://schemas.openxmlformats.org/officeDocument/2006/relationships/hyperlink" Target="https://doi.org/10.1257/aer.20150443" TargetMode="External"/><Relationship Id="rId42" Type="http://schemas.openxmlformats.org/officeDocument/2006/relationships/hyperlink" Target="https://doi.org/10.1111/jiec.12626" TargetMode="External"/><Relationship Id="rId47" Type="http://schemas.openxmlformats.org/officeDocument/2006/relationships/hyperlink" Target="https://doi.org/10.1016/j.jinteco.2006.11.003" TargetMode="External"/><Relationship Id="rId50" Type="http://schemas.openxmlformats.org/officeDocument/2006/relationships/hyperlink" Target="https://doi.org/10.1016/j.worlddev.2020.104995" TargetMode="External"/><Relationship Id="rId55" Type="http://schemas.openxmlformats.org/officeDocument/2006/relationships/hyperlink" Target="https://doi.org/10.1093/icc/dtn027" TargetMode="External"/><Relationship Id="rId7" Type="http://schemas.openxmlformats.org/officeDocument/2006/relationships/hyperlink" Target="https://www.oecd.org/sdd/productivity-stats/oecd-compendium-of-productivity-indicators-22252126.htm" TargetMode="External"/><Relationship Id="rId2" Type="http://schemas.openxmlformats.org/officeDocument/2006/relationships/customXml" Target="../customXml/item2.xml"/><Relationship Id="rId16" Type="http://schemas.openxmlformats.org/officeDocument/2006/relationships/hyperlink" Target="https://doi.org/10.1257/00028280260136381" TargetMode="External"/><Relationship Id="rId29" Type="http://schemas.openxmlformats.org/officeDocument/2006/relationships/hyperlink" Target="https://ideas.repec.org/s/gla/glaewp.html" TargetMode="External"/><Relationship Id="rId11" Type="http://schemas.openxmlformats.org/officeDocument/2006/relationships/hyperlink" Target="https://link.springer.com/article/10.1007/s11123-019-00561-w" TargetMode="External"/><Relationship Id="rId24" Type="http://schemas.openxmlformats.org/officeDocument/2006/relationships/hyperlink" Target="https://doi.org/10.1016/j.euroecorev.2012.01.008" TargetMode="External"/><Relationship Id="rId32" Type="http://schemas.openxmlformats.org/officeDocument/2006/relationships/hyperlink" Target="https://onlinelibrary.wiley.com/doi/full/10.1111/rode.12726" TargetMode="External"/><Relationship Id="rId37" Type="http://schemas.openxmlformats.org/officeDocument/2006/relationships/hyperlink" Target="https://doi.org/10.1093/oxfordhb/9780190226718.013.1" TargetMode="External"/><Relationship Id="rId40" Type="http://schemas.openxmlformats.org/officeDocument/2006/relationships/hyperlink" Target="https://doi.org/10.1023/A:1011117324278" TargetMode="External"/><Relationship Id="rId45" Type="http://schemas.openxmlformats.org/officeDocument/2006/relationships/hyperlink" Target="https://doi.org/10.18267/j.cfuc.167" TargetMode="External"/><Relationship Id="rId53" Type="http://schemas.openxmlformats.org/officeDocument/2006/relationships/hyperlink" Target="https://doi.org/10.1016/j.econmod.2019.03.014"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doi.org/10.1108/IJEBR-11-2020-0744" TargetMode="External"/><Relationship Id="rId4" Type="http://schemas.openxmlformats.org/officeDocument/2006/relationships/styles" Target="styles.xml"/><Relationship Id="rId9" Type="http://schemas.openxmlformats.org/officeDocument/2006/relationships/hyperlink" Target="https://ec.europa.eu/eurostat/statistics-explained/index.php?title=Glossary:Asset" TargetMode="External"/><Relationship Id="rId14" Type="http://schemas.openxmlformats.org/officeDocument/2006/relationships/hyperlink" Target="https://doi.org/10.5171/2016.420774" TargetMode="External"/><Relationship Id="rId22" Type="http://schemas.openxmlformats.org/officeDocument/2006/relationships/hyperlink" Target="https://doi.org/10.1093/icc/dtq057" TargetMode="External"/><Relationship Id="rId27" Type="http://schemas.openxmlformats.org/officeDocument/2006/relationships/hyperlink" Target="https://www.cnb.cz/cs/o_cnb/mezinarodni-vztahy/hospodarska-a-menova-politika-v-eu/-kriteria-konvergence/" TargetMode="External"/><Relationship Id="rId30" Type="http://schemas.openxmlformats.org/officeDocument/2006/relationships/hyperlink" Target="https://doi.org/10.1073/pnas.1920405117" TargetMode="External"/><Relationship Id="rId35" Type="http://schemas.openxmlformats.org/officeDocument/2006/relationships/hyperlink" Target="https://doi.org/10.1177/0148558X8900400407" TargetMode="External"/><Relationship Id="rId43" Type="http://schemas.openxmlformats.org/officeDocument/2006/relationships/hyperlink" Target="https://doi.org/10.1016/j.red.2019.02.003" TargetMode="External"/><Relationship Id="rId48" Type="http://schemas.openxmlformats.org/officeDocument/2006/relationships/hyperlink" Target="https://doi.org/10.1093/cje/ben045" TargetMode="External"/><Relationship Id="rId56" Type="http://schemas.openxmlformats.org/officeDocument/2006/relationships/hyperlink" Target="https://doi.org/10.1111/twec.12630" TargetMode="External"/><Relationship Id="rId8" Type="http://schemas.openxmlformats.org/officeDocument/2006/relationships/hyperlink" Target="https://stats.oecd.org/index.aspx?queryid=54564" TargetMode="External"/><Relationship Id="rId51" Type="http://schemas.openxmlformats.org/officeDocument/2006/relationships/hyperlink" Target="https://doi.org/10.3390/su12218760" TargetMode="External"/><Relationship Id="rId3" Type="http://schemas.openxmlformats.org/officeDocument/2006/relationships/numbering" Target="numbering.xml"/><Relationship Id="rId12" Type="http://schemas.openxmlformats.org/officeDocument/2006/relationships/hyperlink" Target="https://link.springer.com/article/10.1007/s11123-019-00561-w" TargetMode="External"/><Relationship Id="rId17" Type="http://schemas.openxmlformats.org/officeDocument/2006/relationships/hyperlink" Target="https://doi.org/10.1504/IJTLID.2007.015401" TargetMode="External"/><Relationship Id="rId25" Type="http://schemas.openxmlformats.org/officeDocument/2006/relationships/hyperlink" Target="https://doi.org/10.1016/j.econmod.2020.03.008" TargetMode="External"/><Relationship Id="rId33" Type="http://schemas.openxmlformats.org/officeDocument/2006/relationships/hyperlink" Target="https://doi.org/10.1257/jel.49.2.326" TargetMode="External"/><Relationship Id="rId38" Type="http://schemas.openxmlformats.org/officeDocument/2006/relationships/hyperlink" Target="https://doi.org/10.1080/00343404.2020.1763941" TargetMode="External"/><Relationship Id="rId46" Type="http://schemas.openxmlformats.org/officeDocument/2006/relationships/hyperlink" Target="https://doi.org/10.1111/j.1467-6419.2010.00653.x" TargetMode="External"/><Relationship Id="rId59" Type="http://schemas.openxmlformats.org/officeDocument/2006/relationships/theme" Target="theme/theme1.xml"/><Relationship Id="rId20" Type="http://schemas.openxmlformats.org/officeDocument/2006/relationships/hyperlink" Target="https://doi.org/10.1596/978-1-4648-1608-6_ch4" TargetMode="External"/><Relationship Id="rId41" Type="http://schemas.openxmlformats.org/officeDocument/2006/relationships/hyperlink" Target="https://doi.org/10.1093/cje/bet044" TargetMode="External"/><Relationship Id="rId54" Type="http://schemas.openxmlformats.org/officeDocument/2006/relationships/hyperlink" Target="https://doi.org/10.18267/j.polek.85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2478/cer-2018-0024" TargetMode="External"/><Relationship Id="rId23" Type="http://schemas.openxmlformats.org/officeDocument/2006/relationships/hyperlink" Target="https://doi.org/10.25103/ijbesar.102.01" TargetMode="External"/><Relationship Id="rId28" Type="http://schemas.openxmlformats.org/officeDocument/2006/relationships/hyperlink" Target="https://ideas.repec.org/p/gla/glaewp/2011_07.html" TargetMode="External"/><Relationship Id="rId36" Type="http://schemas.openxmlformats.org/officeDocument/2006/relationships/hyperlink" Target="https://doi.org/10.1016/j.respol.2014.10.011" TargetMode="External"/><Relationship Id="rId49" Type="http://schemas.openxmlformats.org/officeDocument/2006/relationships/hyperlink" Target="https://doi.org/10.1007/s11123-019-00561-w" TargetMode="External"/><Relationship Id="rId57" Type="http://schemas.openxmlformats.org/officeDocument/2006/relationships/hyperlink" Target="https://doi.org/10.1093/icc/dtp054" TargetMode="External"/><Relationship Id="rId10" Type="http://schemas.openxmlformats.org/officeDocument/2006/relationships/hyperlink" Target="https://link.springer.com/article/10.1007/s11123-019-00561-w" TargetMode="External"/><Relationship Id="rId31" Type="http://schemas.openxmlformats.org/officeDocument/2006/relationships/hyperlink" Target="https://doi.org/10.1108/01443579610125787" TargetMode="External"/><Relationship Id="rId44" Type="http://schemas.openxmlformats.org/officeDocument/2006/relationships/hyperlink" Target="https://doi.org/10.3390/su122410300" TargetMode="External"/><Relationship Id="rId52" Type="http://schemas.openxmlformats.org/officeDocument/2006/relationships/hyperlink" Target="https://doi.org/10.1111/joes.1237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6F32A-C9BA-4BD7-8435-D51B622E64CE}">
  <ds:schemaRefs>
    <ds:schemaRef ds:uri="urn:writefull-cache:Suggestions"/>
  </ds:schemaRefs>
</ds:datastoreItem>
</file>

<file path=customXml/itemProps2.xml><?xml version="1.0" encoding="utf-8"?>
<ds:datastoreItem xmlns:ds="http://schemas.openxmlformats.org/officeDocument/2006/customXml" ds:itemID="{F500E24E-4929-4C34-AB4B-87F8141C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1850</TotalTime>
  <Pages>52</Pages>
  <Words>14291</Words>
  <Characters>84320</Characters>
  <Application>Microsoft Office Word</Application>
  <DocSecurity>0</DocSecurity>
  <Lines>702</Lines>
  <Paragraphs>196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Volek Tomáš Ing. Ph.D.</dc:creator>
  <cp:keywords/>
  <dc:description/>
  <cp:lastModifiedBy>Volek Tomáš Ing. Ph.D.</cp:lastModifiedBy>
  <cp:revision>57</cp:revision>
  <dcterms:created xsi:type="dcterms:W3CDTF">2021-09-26T20:57:00Z</dcterms:created>
  <dcterms:modified xsi:type="dcterms:W3CDTF">2021-09-28T22:46:00Z</dcterms:modified>
</cp:coreProperties>
</file>